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64C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564C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564C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564C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564C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564C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564C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564C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DCIC-004/02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564C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564C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564C7">
      <w:pPr>
        <w:rPr>
          <w:rFonts w:ascii="Arial" w:hAnsi="Arial"/>
          <w:sz w:val="24"/>
        </w:rPr>
      </w:pPr>
    </w:p>
    <w:p w:rsidR="00000000" w:rsidRDefault="00E564C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564C7">
      <w:pPr>
        <w:jc w:val="both"/>
        <w:rPr>
          <w:rFonts w:ascii="Arial" w:hAnsi="Arial"/>
          <w:sz w:val="24"/>
        </w:rPr>
      </w:pPr>
    </w:p>
    <w:p w:rsidR="00000000" w:rsidRDefault="00E564C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resoluciones CDCC-164/01, CDCC-165/01, CDCC-166/01 y CDCC-167/01, por las cuales se fijan asignaciones complementarias para personal docente de </w:t>
      </w:r>
      <w:r>
        <w:rPr>
          <w:rFonts w:ascii="Arial" w:hAnsi="Arial"/>
          <w:sz w:val="24"/>
        </w:rPr>
        <w:t xml:space="preserve">esta unidad académica en el marco </w:t>
      </w:r>
      <w:r>
        <w:rPr>
          <w:rFonts w:ascii="Arial" w:hAnsi="Arial"/>
          <w:sz w:val="24"/>
          <w:lang w:val="es-AR"/>
        </w:rPr>
        <w:t>del Programa de Estudios Universitarios en la Zona de Influencia de la U.N.S. (P.E.U.Z.O.)</w:t>
      </w:r>
      <w:r>
        <w:rPr>
          <w:rFonts w:ascii="Arial" w:hAnsi="Arial"/>
          <w:sz w:val="24"/>
        </w:rPr>
        <w:t>; y</w:t>
      </w:r>
    </w:p>
    <w:p w:rsidR="00000000" w:rsidRDefault="00E564C7">
      <w:pPr>
        <w:ind w:firstLine="1418"/>
        <w:jc w:val="both"/>
        <w:rPr>
          <w:rFonts w:ascii="Arial" w:hAnsi="Arial"/>
          <w:sz w:val="24"/>
        </w:rPr>
      </w:pPr>
    </w:p>
    <w:p w:rsidR="00000000" w:rsidRDefault="00E564C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564C7">
      <w:pPr>
        <w:ind w:firstLine="1418"/>
        <w:jc w:val="both"/>
        <w:rPr>
          <w:rFonts w:ascii="Arial" w:hAnsi="Arial"/>
          <w:sz w:val="24"/>
        </w:rPr>
      </w:pPr>
    </w:p>
    <w:p w:rsidR="00000000" w:rsidRDefault="00E564C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modificaciones dispuestas por el Consejo Superior Universitario en re-solución CSU-49/02; </w:t>
      </w:r>
    </w:p>
    <w:p w:rsidR="00000000" w:rsidRDefault="00E564C7">
      <w:pPr>
        <w:ind w:firstLine="1418"/>
        <w:jc w:val="both"/>
        <w:rPr>
          <w:rFonts w:ascii="Arial" w:hAnsi="Arial"/>
          <w:sz w:val="24"/>
        </w:rPr>
      </w:pPr>
    </w:p>
    <w:p w:rsidR="00000000" w:rsidRDefault="00E564C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564C7">
      <w:pPr>
        <w:jc w:val="both"/>
        <w:rPr>
          <w:rFonts w:ascii="Arial" w:hAnsi="Arial"/>
          <w:sz w:val="24"/>
        </w:rPr>
      </w:pPr>
    </w:p>
    <w:p w:rsidR="00000000" w:rsidRDefault="00E564C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</w:t>
      </w:r>
      <w:r>
        <w:rPr>
          <w:rFonts w:ascii="Arial" w:hAnsi="Arial"/>
          <w:b/>
          <w:sz w:val="24"/>
        </w:rPr>
        <w:t>irector Decano del Departamento de Ciencias e Ingeniería de la Computación</w:t>
      </w:r>
    </w:p>
    <w:p w:rsidR="00000000" w:rsidRDefault="00E564C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564C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564C7">
      <w:pPr>
        <w:jc w:val="both"/>
        <w:rPr>
          <w:rFonts w:ascii="Arial" w:hAnsi="Arial"/>
          <w:sz w:val="24"/>
        </w:rPr>
      </w:pPr>
    </w:p>
    <w:p w:rsidR="00000000" w:rsidRDefault="00E564C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las modificatorias dispuestas por resolución CSU-49/02 lo dis-puesto en los Art. 2º) de las resoluciones CDCC-164/01, CDCC-165/01, CDCC-1</w:t>
      </w:r>
      <w:r>
        <w:rPr>
          <w:rFonts w:ascii="Arial" w:hAnsi="Arial"/>
          <w:sz w:val="24"/>
        </w:rPr>
        <w:t xml:space="preserve">66 /01 y CDCC-167/01, en lo referente a las asignaciones complementarias que corresponden al personal docente destinado en las localidades de Pigüé, Tres Arroyos, Patagones y Ge-neral La Madrid, en el marco </w:t>
      </w:r>
      <w:r>
        <w:rPr>
          <w:rFonts w:ascii="Arial" w:hAnsi="Arial"/>
          <w:sz w:val="24"/>
          <w:lang w:val="es-AR"/>
        </w:rPr>
        <w:t>del Programa de Estudios Universitarios en la Zon</w:t>
      </w:r>
      <w:r>
        <w:rPr>
          <w:rFonts w:ascii="Arial" w:hAnsi="Arial"/>
          <w:sz w:val="24"/>
          <w:lang w:val="es-AR"/>
        </w:rPr>
        <w:t>a de In-fluencia de la U.N.S. (P.E.U.Z.O):</w:t>
      </w:r>
    </w:p>
    <w:p w:rsidR="00000000" w:rsidRDefault="00E564C7">
      <w:pPr>
        <w:jc w:val="both"/>
        <w:rPr>
          <w:rFonts w:ascii="Arial" w:hAnsi="Arial"/>
          <w:sz w:val="24"/>
          <w:lang w:val="es-AR"/>
        </w:rPr>
      </w:pPr>
    </w:p>
    <w:tbl>
      <w:tblPr>
        <w:tblW w:w="0" w:type="auto"/>
        <w:tblInd w:w="108" w:type="dxa"/>
        <w:tblBorders>
          <w:insideH w:val="single" w:sz="4" w:space="0" w:color="auto"/>
        </w:tblBorders>
        <w:tblLook w:val="0000"/>
      </w:tblPr>
      <w:tblGrid>
        <w:gridCol w:w="1843"/>
        <w:gridCol w:w="2410"/>
        <w:gridCol w:w="3969"/>
        <w:gridCol w:w="113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000000" w:rsidRDefault="00E564C7">
            <w:pPr>
              <w:pStyle w:val="Ttulo3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Resolución</w:t>
            </w:r>
          </w:p>
        </w:tc>
        <w:tc>
          <w:tcPr>
            <w:tcW w:w="2410" w:type="dxa"/>
          </w:tcPr>
          <w:p w:rsidR="00000000" w:rsidRDefault="00E564C7">
            <w:pPr>
              <w:jc w:val="center"/>
              <w:rPr>
                <w:rFonts w:ascii="Comic Sans MS" w:hAnsi="Comic Sans MS"/>
                <w:b/>
                <w:i/>
                <w:sz w:val="24"/>
              </w:rPr>
            </w:pPr>
            <w:r>
              <w:rPr>
                <w:rFonts w:ascii="Comic Sans MS" w:hAnsi="Comic Sans MS"/>
                <w:b/>
                <w:i/>
                <w:sz w:val="24"/>
              </w:rPr>
              <w:t>Localidad</w:t>
            </w:r>
          </w:p>
        </w:tc>
        <w:tc>
          <w:tcPr>
            <w:tcW w:w="3969" w:type="dxa"/>
          </w:tcPr>
          <w:p w:rsidR="00000000" w:rsidRDefault="00E564C7">
            <w:pPr>
              <w:pStyle w:val="Ttulo4"/>
            </w:pPr>
            <w:r>
              <w:t>Docente</w:t>
            </w:r>
          </w:p>
        </w:tc>
        <w:tc>
          <w:tcPr>
            <w:tcW w:w="1134" w:type="dxa"/>
          </w:tcPr>
          <w:p w:rsidR="00000000" w:rsidRDefault="00E564C7">
            <w:pPr>
              <w:jc w:val="center"/>
              <w:rPr>
                <w:rFonts w:ascii="Comic Sans MS" w:hAnsi="Comic Sans MS"/>
                <w:b/>
                <w:i/>
                <w:sz w:val="24"/>
              </w:rPr>
            </w:pPr>
            <w:r>
              <w:rPr>
                <w:rFonts w:ascii="Comic Sans MS" w:hAnsi="Comic Sans MS"/>
                <w:b/>
                <w:i/>
                <w:sz w:val="24"/>
              </w:rPr>
              <w:t>Asign.</w:t>
            </w:r>
          </w:p>
        </w:tc>
      </w:tr>
    </w:tbl>
    <w:p w:rsidR="00000000" w:rsidRDefault="00E564C7"/>
    <w:tbl>
      <w:tblPr>
        <w:tblW w:w="0" w:type="auto"/>
        <w:jc w:val="center"/>
        <w:tblInd w:w="123" w:type="dxa"/>
        <w:tblLook w:val="0000"/>
      </w:tblPr>
      <w:tblGrid>
        <w:gridCol w:w="1826"/>
        <w:gridCol w:w="2410"/>
        <w:gridCol w:w="3969"/>
        <w:gridCol w:w="122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6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CDCC-164/01</w:t>
            </w:r>
          </w:p>
        </w:tc>
        <w:tc>
          <w:tcPr>
            <w:tcW w:w="2410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Pigüé</w:t>
            </w:r>
          </w:p>
        </w:tc>
        <w:tc>
          <w:tcPr>
            <w:tcW w:w="396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Dr. Marcelo Alejandro FALAPPA</w:t>
            </w:r>
          </w:p>
        </w:tc>
        <w:tc>
          <w:tcPr>
            <w:tcW w:w="122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$ 2.500.-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6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2410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969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1229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6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CDCC-165/01</w:t>
            </w:r>
          </w:p>
        </w:tc>
        <w:tc>
          <w:tcPr>
            <w:tcW w:w="2410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Tres Arroyos</w:t>
            </w:r>
          </w:p>
        </w:tc>
        <w:tc>
          <w:tcPr>
            <w:tcW w:w="396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Dr. Alejandro Javier GARCÍA</w:t>
            </w:r>
          </w:p>
        </w:tc>
        <w:tc>
          <w:tcPr>
            <w:tcW w:w="122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$ 2.750.-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6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2410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969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1229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6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CDCC-166/01</w:t>
            </w:r>
          </w:p>
        </w:tc>
        <w:tc>
          <w:tcPr>
            <w:tcW w:w="2410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Patagones</w:t>
            </w:r>
          </w:p>
        </w:tc>
        <w:tc>
          <w:tcPr>
            <w:tcW w:w="396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Dr. Carlos Iván CHE</w:t>
            </w:r>
            <w:r>
              <w:rPr>
                <w:rFonts w:ascii="Arial" w:hAnsi="Arial"/>
                <w:b/>
                <w:bCs/>
                <w:sz w:val="24"/>
              </w:rPr>
              <w:t>SÑEVAR</w:t>
            </w:r>
          </w:p>
        </w:tc>
        <w:tc>
          <w:tcPr>
            <w:tcW w:w="122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$ 2.750.-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6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2410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3969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1229" w:type="dxa"/>
          </w:tcPr>
          <w:p w:rsidR="00000000" w:rsidRDefault="00E564C7">
            <w:pPr>
              <w:jc w:val="both"/>
              <w:rPr>
                <w:rFonts w:ascii="Arial" w:hAnsi="Arial"/>
                <w:b/>
                <w:bCs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26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CDCC-167/01</w:t>
            </w:r>
          </w:p>
        </w:tc>
        <w:tc>
          <w:tcPr>
            <w:tcW w:w="2410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General La Madrid</w:t>
            </w:r>
          </w:p>
        </w:tc>
        <w:tc>
          <w:tcPr>
            <w:tcW w:w="396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Mg. Diego César MARTÍNEZ</w:t>
            </w:r>
          </w:p>
        </w:tc>
        <w:tc>
          <w:tcPr>
            <w:tcW w:w="1229" w:type="dxa"/>
          </w:tcPr>
          <w:p w:rsidR="00000000" w:rsidRDefault="00E564C7">
            <w:pPr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$ 3.000.-</w:t>
            </w:r>
          </w:p>
        </w:tc>
      </w:tr>
    </w:tbl>
    <w:p w:rsidR="00000000" w:rsidRDefault="00E564C7">
      <w:pPr>
        <w:jc w:val="both"/>
        <w:rPr>
          <w:rFonts w:ascii="Arial" w:hAnsi="Arial"/>
          <w:i/>
          <w:color w:val="0000FF"/>
          <w:sz w:val="24"/>
        </w:rPr>
      </w:pPr>
      <w:r>
        <w:rPr>
          <w:rFonts w:ascii="Arial" w:hAnsi="Arial"/>
          <w:sz w:val="24"/>
        </w:rPr>
        <w:t xml:space="preserve">                                      </w:t>
      </w:r>
    </w:p>
    <w:p w:rsidR="00000000" w:rsidRDefault="00E564C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</w:t>
      </w:r>
      <w:r>
        <w:rPr>
          <w:rFonts w:ascii="Arial" w:hAnsi="Arial"/>
          <w:sz w:val="24"/>
          <w:lang w:val="es-AR"/>
        </w:rPr>
        <w:t>a) para su conocimiento y a los fines que corresponda; tomen razón la Dirección General de Personal y la Secretaría General Ac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démica; cumplido, archívese.-------------------------------------------------------------------------------</w:t>
      </w:r>
    </w:p>
    <w:p w:rsidR="00000000" w:rsidRDefault="00E564C7">
      <w:pPr>
        <w:jc w:val="both"/>
        <w:rPr>
          <w:rFonts w:ascii="Arial" w:hAnsi="Arial"/>
          <w:sz w:val="24"/>
          <w:lang w:val="es-AR"/>
        </w:rPr>
      </w:pPr>
    </w:p>
    <w:p w:rsidR="00000000" w:rsidRDefault="00E564C7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4C7"/>
    <w:rsid w:val="00E5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2002-03-20T20:08:00Z</cp:lastPrinted>
  <dcterms:created xsi:type="dcterms:W3CDTF">2025-07-06T03:21:00Z</dcterms:created>
  <dcterms:modified xsi:type="dcterms:W3CDTF">2025-07-06T03:21:00Z</dcterms:modified>
</cp:coreProperties>
</file>