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1C64">
      <w:pPr>
        <w:pStyle w:val="Ttulo2"/>
        <w:rPr>
          <w:b w:val="0"/>
          <w:bCs w:val="0"/>
          <w:sz w:val="24"/>
          <w:lang w:val="es-ES_tradnl"/>
        </w:rPr>
      </w:pPr>
      <w:r>
        <w:rPr>
          <w:highlight w:val="yellow"/>
          <w:lang w:val="es-ES_tradnl"/>
        </w:rPr>
        <w:t>Expte D.CC. 2531/00</w:t>
      </w:r>
    </w:p>
    <w:p w:rsidR="00000000" w:rsidRDefault="004E1C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4E1C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4E1C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4E1C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4E1C6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4E1C64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DCIC-043/02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4E1C6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4E1C64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4E1C64">
      <w:pPr>
        <w:rPr>
          <w:rFonts w:ascii="Arial" w:hAnsi="Arial"/>
          <w:sz w:val="24"/>
          <w:lang w:val="es-ES_tradnl"/>
        </w:rPr>
      </w:pPr>
    </w:p>
    <w:p w:rsidR="00000000" w:rsidRDefault="004E1C64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4E1C64">
      <w:pPr>
        <w:rPr>
          <w:rFonts w:ascii="Arial" w:hAnsi="Arial"/>
          <w:sz w:val="24"/>
          <w:lang w:val="es-ES_tradnl"/>
        </w:rPr>
      </w:pPr>
    </w:p>
    <w:p w:rsidR="00000000" w:rsidRDefault="004E1C64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31 de diciembre de 2002 operará el vencimiento de la prórroga de la designación de la señora Doctora Nélida Beatriz Brignole</w:t>
      </w:r>
      <w:r>
        <w:rPr>
          <w:rFonts w:ascii="Arial" w:hAnsi="Arial"/>
          <w:sz w:val="24"/>
          <w:lang w:val="es-ES_tradnl"/>
        </w:rPr>
        <w:t xml:space="preserve">, en un cargo de Profesor Adjunto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“Computación Científica”</w:t>
      </w:r>
      <w:r>
        <w:rPr>
          <w:rFonts w:ascii="Arial" w:hAnsi="Arial"/>
          <w:sz w:val="24"/>
          <w:lang w:val="es-ES_tradnl"/>
        </w:rPr>
        <w:t>; y</w:t>
      </w:r>
    </w:p>
    <w:p w:rsidR="00000000" w:rsidRDefault="004E1C64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4E1C64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4E1C64">
      <w:pPr>
        <w:rPr>
          <w:rFonts w:ascii="Arial" w:hAnsi="Arial"/>
          <w:sz w:val="24"/>
          <w:lang w:val="es-ES_tradnl"/>
        </w:rPr>
      </w:pPr>
    </w:p>
    <w:p w:rsidR="00000000" w:rsidRDefault="004E1C64">
      <w:pPr>
        <w:pStyle w:val="Sangradetextonormal"/>
        <w:rPr>
          <w:lang w:val="es-ES_tradnl"/>
        </w:rPr>
      </w:pPr>
      <w:r>
        <w:rPr>
          <w:lang w:val="es-ES_tradnl"/>
        </w:rPr>
        <w:t>Que se sustanció el correspondiente concurso (resolución CDCIC-104/02) y se giró al Consejo Superior Universitario la propuesta de desig</w:t>
      </w:r>
      <w:r>
        <w:rPr>
          <w:lang w:val="es-ES_tradnl"/>
        </w:rPr>
        <w:t>nación de la docente en cuestión;</w:t>
      </w:r>
    </w:p>
    <w:p w:rsidR="00000000" w:rsidRDefault="004E1C64">
      <w:pPr>
        <w:pStyle w:val="Sangradetextonormal"/>
        <w:rPr>
          <w:lang w:val="es-ES_tradnl"/>
        </w:rPr>
      </w:pPr>
    </w:p>
    <w:p w:rsidR="00000000" w:rsidRDefault="004E1C64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4E1C64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E1C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4E1C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4E1C64">
      <w:pPr>
        <w:pStyle w:val="Textoindependiente"/>
        <w:rPr>
          <w:lang w:val="es-ES_tradnl"/>
        </w:rPr>
      </w:pPr>
      <w:r>
        <w:rPr>
          <w:lang w:val="es-ES_tradnl"/>
        </w:rPr>
        <w:t xml:space="preserve">El Director Decano del Departamento de Ciencias e Ingeniería de </w:t>
      </w:r>
      <w:r>
        <w:rPr>
          <w:lang w:val="es-ES_tradnl"/>
        </w:rPr>
        <w:t xml:space="preserve">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4E1C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4E1C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4E1C64">
      <w:pPr>
        <w:jc w:val="both"/>
        <w:rPr>
          <w:rFonts w:ascii="Arial" w:hAnsi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Prorrogar la designación de la señora </w:t>
      </w:r>
      <w:r>
        <w:rPr>
          <w:rFonts w:ascii="Arial" w:hAnsi="Arial"/>
          <w:b/>
          <w:bCs/>
          <w:sz w:val="24"/>
          <w:lang w:val="es-ES_tradnl"/>
        </w:rPr>
        <w:t xml:space="preserve">Doctora Nélida Beatriz BRIGNOLE      </w:t>
      </w:r>
      <w:r>
        <w:rPr>
          <w:rFonts w:ascii="Arial" w:hAnsi="Arial"/>
          <w:sz w:val="24"/>
          <w:lang w:val="es-ES_tradnl"/>
        </w:rPr>
        <w:t xml:space="preserve">(D.N.I. 14.853.328 - Leg. 6543) en un cargo de Profesor Adjunto con dedicación simple, en el </w:t>
      </w:r>
      <w:r>
        <w:rPr>
          <w:rFonts w:ascii="Arial" w:hAnsi="Arial"/>
          <w:sz w:val="24"/>
          <w:lang w:val="es-ES_tradnl"/>
        </w:rPr>
        <w:t>Area: VI, Disci</w:t>
      </w:r>
      <w:r>
        <w:rPr>
          <w:rFonts w:ascii="Arial" w:hAnsi="Arial"/>
          <w:sz w:val="24"/>
          <w:lang w:val="es-ES_tradnl"/>
        </w:rPr>
        <w:softHyphen/>
        <w:t xml:space="preserve">plina: Aplicaciones, Asignatura: </w:t>
      </w:r>
      <w:r>
        <w:rPr>
          <w:rFonts w:ascii="Arial" w:hAnsi="Arial"/>
          <w:b/>
          <w:bCs/>
          <w:sz w:val="24"/>
          <w:lang w:val="es-ES_tradnl"/>
        </w:rPr>
        <w:t>"Computación Científica” (Cod. 7595)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a partir de</w:t>
      </w:r>
      <w:r>
        <w:rPr>
          <w:rFonts w:ascii="Arial" w:hAnsi="Arial"/>
          <w:sz w:val="24"/>
          <w:lang w:val="es-ES_tradnl"/>
        </w:rPr>
        <w:t xml:space="preserve">l 01 de enero </w:t>
      </w:r>
      <w:r>
        <w:rPr>
          <w:rFonts w:ascii="Arial" w:hAnsi="Arial" w:cs="Arial"/>
          <w:sz w:val="24"/>
          <w:szCs w:val="24"/>
          <w:lang w:val="es-ES_tradnl"/>
        </w:rPr>
        <w:t xml:space="preserve">y hasta el </w:t>
      </w:r>
      <w:r>
        <w:rPr>
          <w:rFonts w:ascii="Arial" w:hAnsi="Arial"/>
          <w:sz w:val="24"/>
          <w:lang w:val="es-ES_tradnl"/>
        </w:rPr>
        <w:t xml:space="preserve">31 de marzo de 2003.- </w:t>
      </w:r>
    </w:p>
    <w:p w:rsidR="00000000" w:rsidRDefault="004E1C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</w:t>
      </w:r>
      <w:r>
        <w:rPr>
          <w:rFonts w:ascii="Arial" w:hAnsi="Arial"/>
          <w:sz w:val="24"/>
          <w:lang w:val="es-ES_tradnl"/>
        </w:rPr>
        <w:t>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4E1C64">
      <w:pPr>
        <w:jc w:val="both"/>
        <w:rPr>
          <w:rFonts w:ascii="Arial" w:hAnsi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4E1C64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1C64"/>
    <w:rsid w:val="004E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i/>
      <w:iCs/>
      <w:sz w:val="36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2002-12-23T19:41:00Z</cp:lastPrinted>
  <dcterms:created xsi:type="dcterms:W3CDTF">2025-07-06T03:24:00Z</dcterms:created>
  <dcterms:modified xsi:type="dcterms:W3CDTF">2025-07-06T03:24:00Z</dcterms:modified>
</cp:coreProperties>
</file>