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02" w:rsidRDefault="00C73A0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CDCIC-243/04</w:t>
      </w:r>
      <w:r>
        <w:rPr>
          <w:rFonts w:ascii="Arial" w:hAnsi="Arial" w:cs="Arial"/>
          <w:sz w:val="24"/>
        </w:rPr>
        <w:t xml:space="preserve">                 </w:t>
      </w:r>
    </w:p>
    <w:p w:rsidR="00C73A02" w:rsidRDefault="00C73A02">
      <w:pPr>
        <w:jc w:val="both"/>
        <w:rPr>
          <w:rFonts w:ascii="Arial" w:hAnsi="Arial" w:cs="Arial"/>
          <w:sz w:val="24"/>
        </w:rPr>
      </w:pPr>
    </w:p>
    <w:p w:rsidR="00C73A02" w:rsidRDefault="00C73A02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C73A02" w:rsidRDefault="00C73A02">
      <w:pPr>
        <w:rPr>
          <w:rFonts w:ascii="Arial" w:hAnsi="Arial" w:cs="Arial"/>
          <w:sz w:val="24"/>
        </w:rPr>
      </w:pPr>
    </w:p>
    <w:p w:rsidR="00C73A02" w:rsidRDefault="00C73A0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C73A02" w:rsidRDefault="00C73A02">
      <w:pPr>
        <w:rPr>
          <w:rFonts w:ascii="Arial" w:hAnsi="Arial" w:cs="Arial"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C73A02" w:rsidRDefault="00C73A02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C73A02" w:rsidRDefault="00C73A02">
      <w:pPr>
        <w:pStyle w:val="Textoindependiente"/>
        <w:rPr>
          <w:rFonts w:ascii="Arial" w:hAnsi="Arial" w:cs="Arial"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C73A02" w:rsidRDefault="00C73A02">
      <w:pPr>
        <w:pStyle w:val="Textoindependiente"/>
        <w:ind w:firstLine="1418"/>
        <w:rPr>
          <w:rFonts w:ascii="Arial" w:hAnsi="Arial" w:cs="Arial"/>
          <w:sz w:val="24"/>
        </w:rPr>
      </w:pPr>
    </w:p>
    <w:p w:rsidR="00C73A02" w:rsidRDefault="00C73A02">
      <w:pPr>
        <w:pStyle w:val="Sangradetextonormal"/>
        <w:rPr>
          <w:b w:val="0"/>
          <w:bCs/>
          <w:szCs w:val="24"/>
        </w:rPr>
      </w:pPr>
      <w:r>
        <w:rPr>
          <w:b w:val="0"/>
          <w:bCs/>
        </w:rPr>
        <w:t>Que la Comisión Evaluadora recomienda la designación de los docentes i</w:t>
      </w:r>
      <w:r>
        <w:rPr>
          <w:b w:val="0"/>
          <w:bCs/>
          <w:u w:val="single"/>
        </w:rPr>
        <w:t xml:space="preserve">n </w:t>
      </w:r>
      <w:proofErr w:type="spellStart"/>
      <w:r>
        <w:rPr>
          <w:b w:val="0"/>
          <w:bCs/>
        </w:rPr>
        <w:t>cluidos</w:t>
      </w:r>
      <w:proofErr w:type="spellEnd"/>
      <w:r>
        <w:rPr>
          <w:b w:val="0"/>
          <w:bCs/>
        </w:rPr>
        <w:t xml:space="preserve"> en los Anexos I y II de la presente, como Auxiliares de Docencia del curso de ni-velación de Análisis y Comprensión de Problemas.</w:t>
      </w:r>
    </w:p>
    <w:p w:rsidR="00C73A02" w:rsidRDefault="00C73A02">
      <w:pPr>
        <w:pStyle w:val="Textoindependiente"/>
        <w:rPr>
          <w:rFonts w:ascii="Arial" w:hAnsi="Arial" w:cs="Arial"/>
          <w:bCs/>
          <w:sz w:val="24"/>
          <w:lang w:val="es-ES_tradnl"/>
        </w:rPr>
      </w:pP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C73A02" w:rsidRDefault="00C73A02">
      <w:pPr>
        <w:pStyle w:val="Textoindependiente"/>
        <w:rPr>
          <w:rFonts w:ascii="Arial" w:hAnsi="Arial" w:cs="Arial"/>
          <w:sz w:val="24"/>
        </w:rPr>
      </w:pPr>
    </w:p>
    <w:p w:rsidR="00C73A02" w:rsidRDefault="00C73A02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Designar a cada uno de los docentes que se indican en e ANEXO I, en un cargo de Auxiliar de docencia del Curso de Nivelación de Análisis y Comprensión de Problemas a partir del 31 de enero de 2005 y hasta el 15 de marzo de 2005.-</w:t>
      </w:r>
    </w:p>
    <w:p w:rsidR="00C73A02" w:rsidRDefault="00C73A02">
      <w:pPr>
        <w:pStyle w:val="Textoindependiente"/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Designar a cada uno de los docentes que se indican en e ANEXO II, en dos cargos de Auxiliar de docencia del Curso de Nivelación de Análisis y Comprensión de Problemas a partir del 31 de enero de 2005 y hasta el 15 de marzo de 2005.-</w:t>
      </w:r>
    </w:p>
    <w:p w:rsidR="00C73A02" w:rsidRDefault="00C73A02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VEINTICINCO ($ 125.-) </w:t>
      </w:r>
      <w:r>
        <w:rPr>
          <w:rFonts w:ascii="Arial" w:hAnsi="Arial" w:cs="Arial"/>
          <w:sz w:val="24"/>
        </w:rPr>
        <w:t>para los agentes citados en el ANEXO I y de</w:t>
      </w:r>
      <w:r>
        <w:rPr>
          <w:rFonts w:ascii="Arial" w:hAnsi="Arial" w:cs="Arial"/>
          <w:b/>
          <w:bCs/>
          <w:sz w:val="24"/>
        </w:rPr>
        <w:t xml:space="preserve"> p</w:t>
      </w:r>
      <w:r>
        <w:rPr>
          <w:rFonts w:ascii="Arial" w:hAnsi="Arial" w:cs="Arial"/>
          <w:b/>
          <w:bCs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DOSCIENTOS CINCUENTA ($ 250.-) </w:t>
      </w:r>
      <w:r>
        <w:rPr>
          <w:rFonts w:ascii="Arial" w:hAnsi="Arial" w:cs="Arial"/>
          <w:sz w:val="24"/>
        </w:rPr>
        <w:t>para quienes figuran en el ANEXO II, dichas sumas incluyen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73A02" w:rsidRDefault="00C73A0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3A02" w:rsidRDefault="00C73A02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4º).-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C73A02" w:rsidRDefault="00C73A0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3A02" w:rsidRDefault="00C73A0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C73A02" w:rsidRDefault="00C73A02">
      <w:pPr>
        <w:rPr>
          <w:rFonts w:ascii="Arial" w:hAnsi="Arial" w:cs="Arial"/>
          <w:sz w:val="24"/>
        </w:rPr>
      </w:pPr>
    </w:p>
    <w:p w:rsidR="00C73A02" w:rsidRDefault="00C73A02">
      <w:pPr>
        <w:rPr>
          <w:rFonts w:ascii="Arial" w:hAnsi="Arial" w:cs="Arial"/>
          <w:sz w:val="24"/>
        </w:rPr>
      </w:pPr>
    </w:p>
    <w:p w:rsidR="00C73A02" w:rsidRDefault="00C73A02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s-ES"/>
        </w:rPr>
      </w:pPr>
    </w:p>
    <w:p w:rsidR="00C73A02" w:rsidRDefault="00C73A02">
      <w:pPr>
        <w:pStyle w:val="Ttulo2"/>
        <w:rPr>
          <w:color w:val="0000FF"/>
          <w:lang w:val="pt-BR"/>
        </w:rPr>
      </w:pPr>
      <w:r>
        <w:rPr>
          <w:lang w:val="pt-BR"/>
        </w:rPr>
        <w:t>A N E X O   I – Resolución CDCIC-243/04</w:t>
      </w:r>
    </w:p>
    <w:p w:rsidR="00C73A02" w:rsidRDefault="00C73A02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p w:rsidR="00C73A02" w:rsidRDefault="00C73A02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4665"/>
        <w:gridCol w:w="2364"/>
      </w:tblGrid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49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Nº legajo</w:t>
            </w:r>
          </w:p>
        </w:tc>
        <w:tc>
          <w:tcPr>
            <w:tcW w:w="4665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Apellido/s y nombre/s</w:t>
            </w:r>
          </w:p>
        </w:tc>
        <w:tc>
          <w:tcPr>
            <w:tcW w:w="2364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 y nº documento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49" w:type="dxa"/>
          </w:tcPr>
          <w:p w:rsidR="00C73A02" w:rsidRDefault="00C73A02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9291</w:t>
            </w:r>
          </w:p>
        </w:tc>
        <w:tc>
          <w:tcPr>
            <w:tcW w:w="4665" w:type="dxa"/>
          </w:tcPr>
          <w:p w:rsidR="00C73A02" w:rsidRDefault="00C73A02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CESETTI, Ángela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Beatríz</w:t>
            </w:r>
            <w:proofErr w:type="spellEnd"/>
          </w:p>
        </w:tc>
        <w:tc>
          <w:tcPr>
            <w:tcW w:w="2364" w:type="dxa"/>
          </w:tcPr>
          <w:p w:rsidR="00C73A02" w:rsidRDefault="00C73A02">
            <w:pPr>
              <w:pStyle w:val="Ttulo3"/>
              <w:rPr>
                <w:b/>
                <w:bCs/>
                <w:color w:val="auto"/>
                <w:sz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</w:rPr>
              <w:t>D.N.I</w:t>
            </w:r>
            <w:proofErr w:type="spellEnd"/>
            <w:r>
              <w:rPr>
                <w:b/>
                <w:bCs/>
                <w:color w:val="auto"/>
                <w:sz w:val="20"/>
              </w:rPr>
              <w:t>. 24.924.099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49" w:type="dxa"/>
          </w:tcPr>
          <w:p w:rsidR="00C73A02" w:rsidRDefault="00C73A02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9985</w:t>
            </w:r>
          </w:p>
        </w:tc>
        <w:tc>
          <w:tcPr>
            <w:tcW w:w="4665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URRIBARRI, Dana Karina</w:t>
            </w:r>
          </w:p>
        </w:tc>
        <w:tc>
          <w:tcPr>
            <w:tcW w:w="2364" w:type="dxa"/>
          </w:tcPr>
          <w:p w:rsidR="00C73A02" w:rsidRDefault="00C73A02">
            <w:pPr>
              <w:pStyle w:val="Ttulo3"/>
              <w:rPr>
                <w:b/>
                <w:bCs/>
                <w:color w:val="auto"/>
                <w:sz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</w:rPr>
              <w:t>D.N.I</w:t>
            </w:r>
            <w:proofErr w:type="spellEnd"/>
            <w:r>
              <w:rPr>
                <w:b/>
                <w:bCs/>
                <w:color w:val="auto"/>
                <w:sz w:val="20"/>
              </w:rPr>
              <w:t>. 28.861.341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49" w:type="dxa"/>
          </w:tcPr>
          <w:p w:rsidR="00C73A02" w:rsidRDefault="00C73A02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10574</w:t>
            </w:r>
          </w:p>
        </w:tc>
        <w:tc>
          <w:tcPr>
            <w:tcW w:w="4665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SASTRE, Mariana</w:t>
            </w:r>
          </w:p>
        </w:tc>
        <w:tc>
          <w:tcPr>
            <w:tcW w:w="2364" w:type="dxa"/>
          </w:tcPr>
          <w:p w:rsidR="00C73A02" w:rsidRDefault="00C73A02">
            <w:pPr>
              <w:pStyle w:val="Ttulo3"/>
            </w:pPr>
            <w:proofErr w:type="spellStart"/>
            <w:r>
              <w:rPr>
                <w:b/>
                <w:bCs/>
                <w:color w:val="auto"/>
                <w:sz w:val="20"/>
              </w:rPr>
              <w:t>D.N.I</w:t>
            </w:r>
            <w:proofErr w:type="spellEnd"/>
            <w:r>
              <w:rPr>
                <w:b/>
                <w:bCs/>
                <w:color w:val="auto"/>
                <w:sz w:val="20"/>
              </w:rPr>
              <w:t>. 26.704.618</w:t>
            </w:r>
          </w:p>
        </w:tc>
      </w:tr>
    </w:tbl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pStyle w:val="Ttulo2"/>
        <w:rPr>
          <w:color w:val="0000FF"/>
          <w:lang w:val="pt-BR"/>
        </w:rPr>
      </w:pPr>
      <w:r>
        <w:rPr>
          <w:lang w:val="pt-BR"/>
        </w:rPr>
        <w:t>A N E X O   II – Resolución CDCIC-243/04</w:t>
      </w:r>
    </w:p>
    <w:p w:rsidR="00C73A02" w:rsidRDefault="00C73A02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p w:rsidR="00C73A02" w:rsidRDefault="00C73A02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9"/>
        <w:gridCol w:w="4758"/>
        <w:gridCol w:w="2438"/>
      </w:tblGrid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Nº legajo</w:t>
            </w:r>
          </w:p>
        </w:tc>
        <w:tc>
          <w:tcPr>
            <w:tcW w:w="4758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Apellido/s y nombre/s</w:t>
            </w:r>
          </w:p>
        </w:tc>
        <w:tc>
          <w:tcPr>
            <w:tcW w:w="2438" w:type="dxa"/>
          </w:tcPr>
          <w:p w:rsidR="00C73A02" w:rsidRDefault="00C73A02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 y nº documento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10659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SCHMALE, Federico Guillermo</w:t>
            </w: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29.159.771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10408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CASALINI, María Clara</w:t>
            </w: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27.832.426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10845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GUTIERREZ,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Lionel</w:t>
            </w:r>
            <w:proofErr w:type="spellEnd"/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30.174.735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10686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LAGARRIGUE LAZARTE, Emiliano</w:t>
            </w: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30.351.476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9765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LARREA, Martín Leonardo</w:t>
            </w: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27.918.221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10076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MARTÍNEZ, María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Vanina</w:t>
            </w:r>
            <w:proofErr w:type="spellEnd"/>
          </w:p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29.377.702</w:t>
            </w:r>
          </w:p>
        </w:tc>
      </w:tr>
      <w:tr w:rsidR="00C73A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9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10274</w:t>
            </w:r>
          </w:p>
        </w:tc>
        <w:tc>
          <w:tcPr>
            <w:tcW w:w="475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PÉREZ, Virginia Laura</w:t>
            </w:r>
          </w:p>
        </w:tc>
        <w:tc>
          <w:tcPr>
            <w:tcW w:w="2438" w:type="dxa"/>
          </w:tcPr>
          <w:p w:rsidR="00C73A02" w:rsidRDefault="00C73A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25.908.867</w:t>
            </w:r>
          </w:p>
        </w:tc>
      </w:tr>
    </w:tbl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jc w:val="center"/>
        <w:rPr>
          <w:rFonts w:ascii="Arial" w:hAnsi="Arial" w:cs="Arial"/>
          <w:sz w:val="24"/>
        </w:rPr>
      </w:pPr>
    </w:p>
    <w:p w:rsidR="00C73A02" w:rsidRDefault="00C73A02">
      <w:pPr>
        <w:ind w:firstLine="1134"/>
        <w:jc w:val="both"/>
        <w:rPr>
          <w:rFonts w:ascii="Arial" w:hAnsi="Arial" w:cs="Arial"/>
          <w:sz w:val="24"/>
          <w:lang w:val="pt-BR"/>
        </w:rPr>
      </w:pPr>
    </w:p>
    <w:sectPr w:rsidR="00C73A02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60"/>
    <w:rsid w:val="003E2760"/>
    <w:rsid w:val="007767FC"/>
    <w:rsid w:val="00C7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2005-02-14T22:02:00Z</cp:lastPrinted>
  <dcterms:created xsi:type="dcterms:W3CDTF">2025-07-06T03:52:00Z</dcterms:created>
  <dcterms:modified xsi:type="dcterms:W3CDTF">2025-07-06T03:52:00Z</dcterms:modified>
</cp:coreProperties>
</file>