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E301C">
        <w:rPr>
          <w:lang w:val="es-AR"/>
        </w:rPr>
        <w:t>262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250C" w:rsidRDefault="00C8250C">
      <w:pPr>
        <w:jc w:val="both"/>
        <w:rPr>
          <w:rFonts w:ascii="Arial" w:hAnsi="Arial"/>
          <w:sz w:val="24"/>
          <w:lang w:val="es-AR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CSU-901/05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E301C" w:rsidRDefault="004E301C" w:rsidP="004E301C">
      <w:pPr>
        <w:pStyle w:val="Textoindependiente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Pr="00C643CD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</w:t>
      </w:r>
      <w:proofErr w:type="spellStart"/>
      <w:r w:rsidRPr="00C643CD">
        <w:rPr>
          <w:rFonts w:ascii="Arial" w:hAnsi="Arial" w:cs="Arial"/>
          <w:bCs/>
          <w:sz w:val="24"/>
        </w:rPr>
        <w:t>Mg</w:t>
      </w:r>
      <w:proofErr w:type="spellEnd"/>
      <w:r w:rsidRPr="00C643CD">
        <w:rPr>
          <w:rFonts w:ascii="Arial" w:hAnsi="Arial" w:cs="Arial"/>
          <w:bCs/>
          <w:sz w:val="24"/>
        </w:rPr>
        <w:t xml:space="preserve">. Silvia Castro, responsable de analizar los antecedentes de los inscriptos;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</w:p>
    <w:p w:rsidR="00C8250C" w:rsidRDefault="00C8250C">
      <w:pPr>
        <w:pStyle w:val="Sangradetextonormal"/>
        <w:rPr>
          <w:szCs w:val="24"/>
        </w:rPr>
      </w:pPr>
      <w:r>
        <w:t>Que la Comisión Evaluadora recomienda la designación de los docentes i</w:t>
      </w:r>
      <w:r>
        <w:rPr>
          <w:u w:val="single"/>
        </w:rPr>
        <w:t xml:space="preserve">n </w:t>
      </w:r>
      <w:proofErr w:type="spellStart"/>
      <w:r>
        <w:t>cluidos</w:t>
      </w:r>
      <w:proofErr w:type="spellEnd"/>
      <w:r>
        <w:t xml:space="preserve"> en los Anexos I y II de la presente, como Auxiliares de Docencia del curso de ni-velación de Análisis y Comprensión de Problemas.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</w:t>
      </w:r>
      <w:r w:rsidR="004E301C">
        <w:rPr>
          <w:rFonts w:ascii="Arial" w:hAnsi="Arial" w:cs="Arial"/>
          <w:b/>
          <w:bCs/>
          <w:sz w:val="24"/>
        </w:rPr>
        <w:t>putación en su reunión del día 21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4E301C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AF611A" w:rsidRDefault="00C8250C" w:rsidP="00190F18">
      <w:pPr>
        <w:pStyle w:val="Sangradetextonormal"/>
        <w:ind w:firstLine="0"/>
        <w:rPr>
          <w:szCs w:val="24"/>
        </w:rPr>
      </w:pPr>
      <w:r>
        <w:rPr>
          <w:b/>
          <w:bCs/>
        </w:rPr>
        <w:t>Art. 1º).-</w:t>
      </w:r>
      <w:r>
        <w:rPr>
          <w:b/>
          <w:bCs/>
        </w:rPr>
        <w:tab/>
      </w:r>
      <w:r>
        <w:rPr>
          <w:b/>
          <w:bCs/>
        </w:rPr>
        <w:tab/>
      </w:r>
      <w:r w:rsidR="004E301C">
        <w:t>Designar a partir del 01</w:t>
      </w:r>
      <w:r>
        <w:t xml:space="preserve"> de </w:t>
      </w:r>
      <w:r w:rsidR="004E301C">
        <w:t>febrero</w:t>
      </w:r>
      <w:r>
        <w:t xml:space="preserve"> de 200</w:t>
      </w:r>
      <w:r w:rsidR="004E301C">
        <w:t>6 y hasta el 15 de marzo de 2006</w:t>
      </w:r>
      <w:r>
        <w:t xml:space="preserve"> a los docentes que se indican en los ANEXOS I y II de la presente</w:t>
      </w:r>
      <w:r w:rsidR="00190F18">
        <w:t xml:space="preserve"> resolución</w:t>
      </w:r>
      <w:r w:rsidR="00AF611A">
        <w:t xml:space="preserve"> como</w:t>
      </w:r>
      <w:r w:rsidR="00AF611A" w:rsidRPr="00AF611A">
        <w:t xml:space="preserve"> </w:t>
      </w:r>
      <w:r w:rsidR="00AF611A">
        <w:t>Auxiliares de Docencia de</w:t>
      </w:r>
      <w:r w:rsidR="00190F18">
        <w:t>l</w:t>
      </w:r>
      <w:r w:rsidR="00AF611A">
        <w:t xml:space="preserve"> curso de nivelación de Análisis y Comprensión de Problemas.</w:t>
      </w:r>
      <w:r w:rsidR="00190F18">
        <w:t>-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asignación complementaria, remunerativa y no bonificable, de</w:t>
      </w: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b w:val="0"/>
          <w:bCs w:val="0"/>
          <w:sz w:val="24"/>
        </w:rPr>
      </w:pPr>
      <w:r>
        <w:rPr>
          <w:lang w:val="es-AR"/>
        </w:rPr>
        <w:t>///CDCIC-</w:t>
      </w:r>
      <w:r w:rsidR="004E301C">
        <w:rPr>
          <w:lang w:val="es-AR"/>
        </w:rPr>
        <w:t>262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pesos </w:t>
      </w:r>
      <w:r w:rsidR="004E301C">
        <w:rPr>
          <w:rFonts w:ascii="Arial" w:hAnsi="Arial" w:cs="Arial"/>
          <w:b/>
          <w:bCs/>
          <w:sz w:val="24"/>
        </w:rPr>
        <w:t>DOSCIENTOS</w:t>
      </w:r>
      <w:r>
        <w:rPr>
          <w:rFonts w:ascii="Arial" w:hAnsi="Arial" w:cs="Arial"/>
          <w:b/>
          <w:bCs/>
          <w:sz w:val="24"/>
        </w:rPr>
        <w:t xml:space="preserve"> ($ 2</w:t>
      </w:r>
      <w:r w:rsidR="004E301C">
        <w:rPr>
          <w:rFonts w:ascii="Arial" w:hAnsi="Arial" w:cs="Arial"/>
          <w:b/>
          <w:bCs/>
          <w:sz w:val="24"/>
        </w:rPr>
        <w:t>00</w:t>
      </w:r>
      <w:r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sz w:val="24"/>
        </w:rPr>
        <w:t>para los agentes citados en el ANEXO I y de</w:t>
      </w:r>
      <w:r>
        <w:rPr>
          <w:rFonts w:ascii="Arial" w:hAnsi="Arial" w:cs="Arial"/>
          <w:b/>
          <w:bCs/>
          <w:sz w:val="24"/>
        </w:rPr>
        <w:t xml:space="preserve"> p</w:t>
      </w:r>
      <w:r w:rsidRPr="004E301C">
        <w:rPr>
          <w:rFonts w:ascii="Arial" w:hAnsi="Arial" w:cs="Arial"/>
          <w:b/>
          <w:bCs/>
          <w:sz w:val="24"/>
        </w:rPr>
        <w:t>e</w:t>
      </w:r>
      <w:r>
        <w:rPr>
          <w:rFonts w:ascii="Arial" w:hAnsi="Arial" w:cs="Arial"/>
          <w:b/>
          <w:bCs/>
          <w:sz w:val="24"/>
        </w:rPr>
        <w:t xml:space="preserve">sos </w:t>
      </w:r>
      <w:r w:rsidR="004E301C">
        <w:rPr>
          <w:rFonts w:ascii="Arial" w:hAnsi="Arial" w:cs="Arial"/>
          <w:b/>
          <w:bCs/>
          <w:sz w:val="24"/>
        </w:rPr>
        <w:t>CUATROCIENTOS ($ 40</w:t>
      </w:r>
      <w:r>
        <w:rPr>
          <w:rFonts w:ascii="Arial" w:hAnsi="Arial" w:cs="Arial"/>
          <w:b/>
          <w:bCs/>
          <w:sz w:val="24"/>
        </w:rPr>
        <w:t xml:space="preserve">0.-) </w:t>
      </w:r>
      <w:r>
        <w:rPr>
          <w:rFonts w:ascii="Arial" w:hAnsi="Arial" w:cs="Arial"/>
          <w:sz w:val="24"/>
        </w:rPr>
        <w:t>para quienes figuran en el ANEXO II, dichas sumas incluyen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8250C" w:rsidRDefault="00C8250C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rPr>
          <w:rFonts w:ascii="Arial" w:hAnsi="Arial" w:cs="Arial"/>
          <w:sz w:val="24"/>
        </w:rPr>
      </w:pPr>
    </w:p>
    <w:p w:rsidR="00C8250C" w:rsidRDefault="00C8250C">
      <w:pPr>
        <w:rPr>
          <w:rFonts w:ascii="Arial" w:hAnsi="Arial" w:cs="Arial"/>
          <w:sz w:val="24"/>
        </w:rPr>
      </w:pPr>
    </w:p>
    <w:p w:rsidR="00C8250C" w:rsidRDefault="00C8250C">
      <w:pPr>
        <w:rPr>
          <w:rFonts w:ascii="Arial" w:hAnsi="Arial" w:cs="Arial"/>
          <w:sz w:val="24"/>
        </w:rPr>
      </w:pPr>
    </w:p>
    <w:p w:rsidR="00C8250C" w:rsidRDefault="00C8250C">
      <w:pPr>
        <w:rPr>
          <w:rFonts w:ascii="Arial" w:hAnsi="Arial" w:cs="Arial"/>
          <w:sz w:val="24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F85BAE" w:rsidRDefault="00F85BAE">
      <w:pPr>
        <w:pStyle w:val="Ttulo1"/>
        <w:rPr>
          <w:lang w:val="es-AR"/>
        </w:rPr>
      </w:pPr>
    </w:p>
    <w:p w:rsidR="00F85BAE" w:rsidRDefault="00F85BAE">
      <w:pPr>
        <w:pStyle w:val="Ttulo1"/>
        <w:rPr>
          <w:lang w:val="es-AR"/>
        </w:rPr>
      </w:pPr>
    </w:p>
    <w:p w:rsidR="00F85BAE" w:rsidRDefault="00F85BAE">
      <w:pPr>
        <w:pStyle w:val="Ttulo1"/>
        <w:rPr>
          <w:lang w:val="es-AR"/>
        </w:rPr>
      </w:pPr>
    </w:p>
    <w:p w:rsidR="00C8250C" w:rsidRDefault="00C8250C">
      <w:pPr>
        <w:pStyle w:val="Ttulo1"/>
        <w:rPr>
          <w:b w:val="0"/>
          <w:bCs w:val="0"/>
          <w:sz w:val="24"/>
        </w:rPr>
      </w:pPr>
      <w:r>
        <w:rPr>
          <w:lang w:val="es-AR"/>
        </w:rPr>
        <w:t>///CDCIC-262/05</w:t>
      </w:r>
    </w:p>
    <w:p w:rsidR="00C8250C" w:rsidRDefault="00C8250C">
      <w:pPr>
        <w:rPr>
          <w:rFonts w:ascii="Arial" w:hAnsi="Arial" w:cs="Arial"/>
          <w:sz w:val="24"/>
        </w:rPr>
      </w:pPr>
    </w:p>
    <w:p w:rsidR="00C8250C" w:rsidRDefault="00C8250C">
      <w:pPr>
        <w:pStyle w:val="Ttulo2"/>
        <w:rPr>
          <w:color w:val="339966"/>
          <w:lang w:val="pt-BR"/>
        </w:rPr>
      </w:pPr>
      <w:r>
        <w:rPr>
          <w:color w:val="339966"/>
          <w:lang w:val="pt-BR"/>
        </w:rPr>
        <w:t xml:space="preserve">A N E X O   I </w:t>
      </w:r>
    </w:p>
    <w:p w:rsidR="00C8250C" w:rsidRDefault="00C8250C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p w:rsidR="00C8250C" w:rsidRDefault="00C8250C">
      <w:pPr>
        <w:jc w:val="center"/>
        <w:rPr>
          <w:rFonts w:ascii="Arial" w:hAnsi="Arial" w:cs="Arial"/>
          <w:color w:val="0000FF"/>
          <w:sz w:val="24"/>
          <w:lang w:val="pt-BR"/>
        </w:rPr>
      </w:pPr>
    </w:p>
    <w:tbl>
      <w:tblPr>
        <w:tblW w:w="8178" w:type="dxa"/>
        <w:jc w:val="center"/>
        <w:tblInd w:w="33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9"/>
        <w:gridCol w:w="4275"/>
        <w:gridCol w:w="2364"/>
      </w:tblGrid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bottom w:val="single" w:sz="4" w:space="0" w:color="auto"/>
            </w:tcBorders>
          </w:tcPr>
          <w:p w:rsidR="00C8250C" w:rsidRDefault="00C8250C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Nº legajo</w:t>
            </w:r>
          </w:p>
        </w:tc>
        <w:tc>
          <w:tcPr>
            <w:tcW w:w="4275" w:type="dxa"/>
            <w:tcBorders>
              <w:bottom w:val="single" w:sz="4" w:space="0" w:color="auto"/>
            </w:tcBorders>
          </w:tcPr>
          <w:p w:rsidR="00C8250C" w:rsidRDefault="00C8250C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Apellido/s y nombre/s</w:t>
            </w: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C8250C" w:rsidRDefault="00C8250C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Tipo y nº documento</w:t>
            </w:r>
          </w:p>
        </w:tc>
      </w:tr>
    </w:tbl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</w:t>
            </w:r>
            <w:r w:rsidR="00E31B32">
              <w:rPr>
                <w:rFonts w:ascii="Arial" w:hAnsi="Arial" w:cs="Arial"/>
                <w:b/>
                <w:bCs/>
                <w:color w:val="000000"/>
                <w:sz w:val="22"/>
              </w:rPr>
              <w:t>1043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pStyle w:val="Ttulo5"/>
            </w:pPr>
            <w:r>
              <w:t>DÍAZ, Marcelo Guillermo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. </w:t>
            </w:r>
            <w:r w:rsidR="00E31B32">
              <w:rPr>
                <w:rFonts w:ascii="Arial" w:hAnsi="Arial" w:cs="Arial"/>
                <w:b/>
                <w:bCs/>
                <w:color w:val="000000"/>
                <w:sz w:val="22"/>
              </w:rPr>
              <w:t>28.342.668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10865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pStyle w:val="Ttulo5"/>
            </w:pPr>
            <w:r>
              <w:t>ROTSTEIN, Nicolás Daniel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. </w:t>
            </w:r>
            <w:r w:rsidR="00E31B32">
              <w:rPr>
                <w:rFonts w:ascii="Arial" w:hAnsi="Arial" w:cs="Arial"/>
                <w:b/>
                <w:bCs/>
                <w:color w:val="000000"/>
                <w:sz w:val="22"/>
              </w:rPr>
              <w:t>29.145.483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10659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SCHMALE, Federico Guillermo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. </w:t>
            </w:r>
            <w:r w:rsidR="00E31B32">
              <w:rPr>
                <w:rFonts w:ascii="Arial" w:hAnsi="Arial" w:cs="Arial"/>
                <w:b/>
                <w:bCs/>
                <w:color w:val="000000"/>
                <w:sz w:val="22"/>
              </w:rPr>
              <w:t>29.159.771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val="en-US"/>
              </w:rPr>
              <w:t>9985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URRIBARRI, Dana Karina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 xml:space="preserve">. </w:t>
            </w:r>
            <w:r w:rsidR="00E31B32"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28.861.342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E31B32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10869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 w:rsidP="00C8250C">
            <w:pPr>
              <w:jc w:val="both"/>
              <w:rPr>
                <w:rFonts w:ascii="Arial" w:hAnsi="Arial" w:cs="Arial"/>
                <w:b/>
                <w:bCs/>
                <w:color w:val="000000"/>
                <w:sz w:val="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SOTO,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Axel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Juan</w:t>
            </w:r>
          </w:p>
          <w:p w:rsidR="00C8250C" w:rsidRDefault="00C8250C" w:rsidP="00C8250C">
            <w:pPr>
              <w:jc w:val="both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</w:t>
            </w:r>
            <w:r w:rsidR="00CB2C63">
              <w:rPr>
                <w:rFonts w:ascii="Arial" w:hAnsi="Arial" w:cs="Arial"/>
                <w:b/>
                <w:bCs/>
                <w:color w:val="000000"/>
                <w:sz w:val="22"/>
              </w:rPr>
              <w:t>8946.003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11107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 w:rsidP="00C8250C">
            <w:pPr>
              <w:pStyle w:val="Ttulo5"/>
            </w:pPr>
            <w:r>
              <w:t>SAGUI, Fernando Martín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</w:t>
            </w:r>
            <w:r w:rsidR="00CB2C63">
              <w:rPr>
                <w:rFonts w:ascii="Arial" w:hAnsi="Arial" w:cs="Arial"/>
                <w:b/>
                <w:bCs/>
                <w:color w:val="000000"/>
                <w:sz w:val="22"/>
              </w:rPr>
              <w:t>6.417.010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pStyle w:val="Ttulo5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</w:tc>
      </w:tr>
    </w:tbl>
    <w:p w:rsidR="00C8250C" w:rsidRDefault="00C8250C" w:rsidP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pStyle w:val="Ttulo2"/>
        <w:rPr>
          <w:color w:val="339966"/>
          <w:lang w:val="pt-BR"/>
        </w:rPr>
      </w:pPr>
      <w:r>
        <w:rPr>
          <w:color w:val="339966"/>
          <w:lang w:val="pt-BR"/>
        </w:rPr>
        <w:t>A N E X O   II</w:t>
      </w:r>
    </w:p>
    <w:p w:rsidR="00C8250C" w:rsidRDefault="00C8250C">
      <w:pPr>
        <w:pStyle w:val="Ttulo2"/>
        <w:rPr>
          <w:color w:val="0000FF"/>
        </w:rPr>
      </w:pPr>
    </w:p>
    <w:p w:rsidR="00C8250C" w:rsidRDefault="00C8250C">
      <w:pPr>
        <w:jc w:val="center"/>
        <w:rPr>
          <w:rFonts w:ascii="Arial" w:hAnsi="Arial" w:cs="Arial"/>
          <w:color w:val="0000FF"/>
          <w:sz w:val="24"/>
        </w:rPr>
      </w:pPr>
    </w:p>
    <w:p w:rsidR="00C8250C" w:rsidRDefault="00C8250C">
      <w:pPr>
        <w:jc w:val="center"/>
        <w:rPr>
          <w:rFonts w:ascii="Arial" w:hAnsi="Arial" w:cs="Arial"/>
          <w:color w:val="0000FF"/>
          <w:sz w:val="24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C8250C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C8250C" w:rsidRDefault="00C8250C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Nº 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C8250C" w:rsidRDefault="00C8250C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Apellido/s y nombre/s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8250C" w:rsidRDefault="00C8250C">
            <w:pPr>
              <w:pStyle w:val="Ttulo3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>Tipo y nº documento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3660" w:type="dxa"/>
            <w:tcBorders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color w:val="0000FF"/>
                <w:sz w:val="24"/>
              </w:rPr>
            </w:pP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10902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pStyle w:val="Ttulo5"/>
            </w:pPr>
            <w:r>
              <w:t xml:space="preserve">CURINO, Roxana </w:t>
            </w:r>
            <w:proofErr w:type="spellStart"/>
            <w:r>
              <w:t>Anabel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</w:t>
            </w:r>
            <w:r w:rsidR="00CB2C63">
              <w:rPr>
                <w:rFonts w:ascii="Arial" w:hAnsi="Arial" w:cs="Arial"/>
                <w:b/>
                <w:bCs/>
                <w:color w:val="000000"/>
                <w:sz w:val="22"/>
              </w:rPr>
              <w:t>9.360.305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9291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pStyle w:val="Ttulo5"/>
            </w:pPr>
            <w:r>
              <w:t>CESETTI, Ángela Beatriz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24</w:t>
            </w:r>
            <w:r w:rsidR="00CB2C63">
              <w:rPr>
                <w:rFonts w:ascii="Arial" w:hAnsi="Arial" w:cs="Arial"/>
                <w:b/>
                <w:bCs/>
                <w:color w:val="000000"/>
                <w:sz w:val="22"/>
              </w:rPr>
              <w:t>.924.099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10686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LAGARRIGUE LAZARTE, E.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. </w:t>
            </w:r>
            <w:r w:rsidR="00CB2C63">
              <w:rPr>
                <w:rFonts w:ascii="Arial" w:hAnsi="Arial" w:cs="Arial"/>
                <w:b/>
                <w:bCs/>
                <w:color w:val="000000"/>
                <w:sz w:val="22"/>
              </w:rPr>
              <w:t>30.351.476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val="en-US"/>
              </w:rPr>
              <w:t>9765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LARREA, Martín Leonardo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. 27</w:t>
            </w:r>
            <w:r w:rsidR="00CB2C63"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  <w:t>.918.221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B2C6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10664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931B16">
            <w:pPr>
              <w:jc w:val="both"/>
              <w:rPr>
                <w:rFonts w:ascii="Arial" w:hAnsi="Arial" w:cs="Arial"/>
                <w:b/>
                <w:bCs/>
                <w:color w:val="000000"/>
                <w:sz w:val="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MIGUEL, Diego Orlando</w:t>
            </w:r>
          </w:p>
          <w:p w:rsidR="00C8250C" w:rsidRDefault="00C8250C">
            <w:pPr>
              <w:jc w:val="both"/>
              <w:rPr>
                <w:rFonts w:ascii="Arial" w:hAnsi="Arial" w:cs="Arial"/>
                <w:b/>
                <w:bCs/>
                <w:color w:val="000000"/>
                <w:sz w:val="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. </w:t>
            </w:r>
            <w:r w:rsidR="00931B16">
              <w:rPr>
                <w:rFonts w:ascii="Arial" w:hAnsi="Arial" w:cs="Arial"/>
                <w:b/>
                <w:bCs/>
                <w:color w:val="000000"/>
                <w:sz w:val="22"/>
              </w:rPr>
              <w:t>30.673.822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</w:t>
            </w:r>
            <w:r w:rsidR="00931B16">
              <w:rPr>
                <w:rFonts w:ascii="Arial" w:hAnsi="Arial" w:cs="Arial"/>
                <w:b/>
                <w:bCs/>
                <w:color w:val="000000"/>
                <w:sz w:val="22"/>
              </w:rPr>
              <w:t>866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931B16">
            <w:pPr>
              <w:pStyle w:val="Ttulo5"/>
            </w:pPr>
            <w:r>
              <w:t>TUCAT, Mariano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</w:t>
            </w:r>
            <w:r w:rsidR="00931B16">
              <w:rPr>
                <w:rFonts w:ascii="Arial" w:hAnsi="Arial" w:cs="Arial"/>
                <w:b/>
                <w:bCs/>
                <w:color w:val="000000"/>
                <w:sz w:val="22"/>
              </w:rPr>
              <w:t>8.946.631</w:t>
            </w:r>
          </w:p>
        </w:tc>
      </w:tr>
      <w:tr w:rsidR="00C825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931B1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10574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931B16">
            <w:pPr>
              <w:pStyle w:val="Ttulo5"/>
            </w:pPr>
            <w:r>
              <w:t>SASTRE, Mariana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8250C" w:rsidRDefault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. 2</w:t>
            </w:r>
            <w:r w:rsidR="00931B16">
              <w:rPr>
                <w:rFonts w:ascii="Arial" w:hAnsi="Arial" w:cs="Arial"/>
                <w:b/>
                <w:bCs/>
                <w:color w:val="000000"/>
                <w:sz w:val="22"/>
              </w:rPr>
              <w:t>6.704.618</w:t>
            </w:r>
          </w:p>
        </w:tc>
      </w:tr>
    </w:tbl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p w:rsidR="00C8250C" w:rsidRDefault="00C8250C">
      <w:pPr>
        <w:jc w:val="center"/>
        <w:rPr>
          <w:rFonts w:ascii="Arial" w:hAnsi="Arial" w:cs="Arial"/>
          <w:sz w:val="24"/>
          <w:lang w:val="en-US"/>
        </w:rPr>
      </w:pPr>
    </w:p>
    <w:sectPr w:rsidR="00C8250C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190F18"/>
    <w:rsid w:val="004E301C"/>
    <w:rsid w:val="007971E4"/>
    <w:rsid w:val="00931B16"/>
    <w:rsid w:val="009737E5"/>
    <w:rsid w:val="00AF611A"/>
    <w:rsid w:val="00C8250C"/>
    <w:rsid w:val="00CB2C63"/>
    <w:rsid w:val="00E31B32"/>
    <w:rsid w:val="00F8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2004-02-06T12:34:00Z</cp:lastPrinted>
  <dcterms:created xsi:type="dcterms:W3CDTF">2025-07-06T04:08:00Z</dcterms:created>
  <dcterms:modified xsi:type="dcterms:W3CDTF">2025-07-06T04:08:00Z</dcterms:modified>
</cp:coreProperties>
</file>