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6DB8">
        <w:rPr>
          <w:rFonts w:ascii="Arial" w:hAnsi="Arial" w:cs="Arial"/>
          <w:bCs/>
          <w:color w:val="000000"/>
          <w:szCs w:val="24"/>
          <w:lang w:val="es-ES"/>
        </w:rPr>
        <w:t>0</w:t>
      </w:r>
      <w:r w:rsidR="005845E4">
        <w:rPr>
          <w:rFonts w:ascii="Arial" w:hAnsi="Arial" w:cs="Arial"/>
          <w:bCs/>
          <w:color w:val="000000"/>
          <w:szCs w:val="24"/>
          <w:lang w:val="es-ES"/>
        </w:rPr>
        <w:t>81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2532E" w:rsidRDefault="00C2532E" w:rsidP="00C2532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Que </w:t>
      </w:r>
      <w:r w:rsidR="00755CDD">
        <w:rPr>
          <w:rFonts w:ascii="Arial" w:hAnsi="Arial" w:cs="Arial"/>
          <w:lang w:val="es-ES_tradnl"/>
        </w:rPr>
        <w:t xml:space="preserve">el 31/07/08 vence la designación del Dr. Gustavo </w:t>
      </w:r>
      <w:proofErr w:type="spellStart"/>
      <w:r w:rsidR="00755CDD">
        <w:rPr>
          <w:rFonts w:ascii="Arial" w:hAnsi="Arial" w:cs="Arial"/>
          <w:lang w:val="es-ES_tradnl"/>
        </w:rPr>
        <w:t>Vazquez</w:t>
      </w:r>
      <w:proofErr w:type="spellEnd"/>
      <w:r w:rsidR="00755CDD">
        <w:rPr>
          <w:rFonts w:ascii="Arial" w:hAnsi="Arial" w:cs="Arial"/>
          <w:lang w:val="es-ES_tradnl"/>
        </w:rPr>
        <w:t xml:space="preserve"> (8696) en su cargo de Asistente de Docencia con dedicación exclusiva</w:t>
      </w:r>
      <w:r w:rsidR="00CD78D9">
        <w:rPr>
          <w:rFonts w:ascii="Arial" w:hAnsi="Arial" w:cs="Arial"/>
          <w:lang w:val="es-ES"/>
        </w:rPr>
        <w:t>; y</w:t>
      </w:r>
    </w:p>
    <w:p w:rsidR="00C2532E" w:rsidRDefault="00C2532E" w:rsidP="00C2532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755CDD">
        <w:rPr>
          <w:rFonts w:ascii="Arial" w:hAnsi="Arial" w:cs="Arial"/>
          <w:lang w:val="es-ES"/>
        </w:rPr>
        <w:t>ue resulta necesario cubrir este</w:t>
      </w:r>
      <w:r>
        <w:rPr>
          <w:rFonts w:ascii="Arial" w:hAnsi="Arial" w:cs="Arial"/>
          <w:lang w:val="es-ES"/>
        </w:rPr>
        <w:t xml:space="preserve"> cargo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5845E4">
        <w:rPr>
          <w:rFonts w:ascii="Arial" w:hAnsi="Arial"/>
          <w:b/>
          <w:lang w:val="es-AR"/>
        </w:rPr>
        <w:t>28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5845E4">
        <w:rPr>
          <w:rFonts w:ascii="Arial" w:hAnsi="Arial"/>
          <w:b/>
          <w:lang w:val="es-AR"/>
        </w:rPr>
        <w:t>mayo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755CDD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755CDD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755CDD">
        <w:rPr>
          <w:rFonts w:ascii="Arial" w:hAnsi="Arial" w:cs="Arial"/>
          <w:b/>
          <w:lang w:val="es-ES"/>
        </w:rPr>
        <w:t>Aplicaciones</w:t>
      </w:r>
    </w:p>
    <w:p w:rsidR="00493CA0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D78D9" w:rsidRDefault="00CD78D9" w:rsidP="00CD78D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 w:rsidR="00755CDD">
        <w:rPr>
          <w:rFonts w:ascii="Arial" w:hAnsi="Arial" w:cs="Arial"/>
          <w:b/>
          <w:lang w:val="es-ES"/>
        </w:rPr>
        <w:t>siste</w:t>
      </w:r>
      <w:r w:rsidRPr="00A859CD">
        <w:rPr>
          <w:rFonts w:ascii="Arial" w:hAnsi="Arial" w:cs="Arial"/>
          <w:b/>
          <w:lang w:val="es-ES"/>
        </w:rPr>
        <w:t xml:space="preserve">nte de Docencia </w:t>
      </w:r>
      <w:r w:rsidR="00755CDD">
        <w:rPr>
          <w:rFonts w:ascii="Arial" w:hAnsi="Arial" w:cs="Arial"/>
          <w:b/>
          <w:lang w:val="es-ES"/>
        </w:rPr>
        <w:t>c</w:t>
      </w:r>
      <w:r>
        <w:rPr>
          <w:rFonts w:ascii="Arial" w:hAnsi="Arial" w:cs="Arial"/>
          <w:b/>
          <w:lang w:val="es-ES"/>
        </w:rPr>
        <w:t>on dedicación e</w:t>
      </w:r>
      <w:r w:rsidR="00755CDD">
        <w:rPr>
          <w:rFonts w:ascii="Arial" w:hAnsi="Arial" w:cs="Arial"/>
          <w:b/>
          <w:lang w:val="es-ES"/>
        </w:rPr>
        <w:t>xclusiva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B55A99">
        <w:rPr>
          <w:rFonts w:ascii="Arial" w:hAnsi="Arial" w:cs="Arial"/>
          <w:b/>
          <w:bCs/>
          <w:lang w:val="es-ES_tradnl"/>
        </w:rPr>
        <w:t>Métodos de Computación Científica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D78D9" w:rsidRPr="00A859CD" w:rsidRDefault="00CD78D9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755CDD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C36DB8" w:rsidRDefault="00B55A99" w:rsidP="00AB529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Métodos de </w:t>
      </w:r>
      <w:r w:rsidR="00755CDD">
        <w:rPr>
          <w:lang w:val="es-ES"/>
        </w:rPr>
        <w:t>Computación Científica</w:t>
      </w:r>
    </w:p>
    <w:p w:rsidR="00755CDD" w:rsidRPr="00755CDD" w:rsidRDefault="00755CDD" w:rsidP="00755CDD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4237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4237A2" w:rsidRDefault="004237A2" w:rsidP="000304C2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lang w:val="es-ES"/>
              </w:rPr>
              <w:t xml:space="preserve"> </w:t>
            </w:r>
            <w:r>
              <w:rPr>
                <w:rFonts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4237A2" w:rsidRDefault="004237A2" w:rsidP="000304C2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237A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237A2" w:rsidRPr="004237A2" w:rsidRDefault="004237A2" w:rsidP="000304C2">
            <w:pPr>
              <w:jc w:val="both"/>
              <w:rPr>
                <w:rFonts w:cs="Arial"/>
                <w:b/>
                <w:bCs/>
                <w:smallCaps/>
                <w:lang w:val="pt-BR"/>
              </w:rPr>
            </w:pPr>
            <w:r w:rsidRPr="004237A2">
              <w:rPr>
                <w:rFonts w:cs="Arial"/>
                <w:b/>
                <w:bCs/>
                <w:smallCaps/>
                <w:lang w:val="pt-BR"/>
              </w:rPr>
              <w:t>Dra. Nélida Beatriz Brignole</w:t>
            </w:r>
          </w:p>
        </w:tc>
        <w:tc>
          <w:tcPr>
            <w:tcW w:w="4276" w:type="dxa"/>
            <w:gridSpan w:val="2"/>
          </w:tcPr>
          <w:p w:rsidR="004237A2" w:rsidRDefault="004237A2" w:rsidP="000304C2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4237A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237A2" w:rsidRDefault="00F76556" w:rsidP="000304C2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Ponzoni</w:t>
            </w:r>
            <w:proofErr w:type="spellEnd"/>
          </w:p>
        </w:tc>
        <w:tc>
          <w:tcPr>
            <w:tcW w:w="4276" w:type="dxa"/>
            <w:gridSpan w:val="2"/>
          </w:tcPr>
          <w:p w:rsidR="004237A2" w:rsidRDefault="00F76556" w:rsidP="000304C2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4237A2" w:rsidRPr="004237A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237A2" w:rsidRDefault="004237A2" w:rsidP="000304C2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4237A2" w:rsidRPr="004237A2" w:rsidRDefault="004237A2" w:rsidP="000304C2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 w:rsidRPr="004237A2">
              <w:rPr>
                <w:rFonts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4237A2">
              <w:rPr>
                <w:rFonts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AB5297" w:rsidRPr="004237A2" w:rsidRDefault="00AB5297" w:rsidP="008971A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8465E" w:rsidRDefault="00D8465E" w:rsidP="00C36D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4237A2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B159DF" w:rsidRDefault="00B159DF" w:rsidP="00C36D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159DF" w:rsidRPr="00B159DF" w:rsidRDefault="00B159DF" w:rsidP="00B159DF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Determinar que quienes se postulen para el cargo con</w:t>
      </w:r>
      <w:r w:rsidRPr="00B159DF">
        <w:rPr>
          <w:rFonts w:ascii="Arial" w:hAnsi="Arial" w:cs="Arial"/>
          <w:b/>
          <w:lang w:val="es-ES"/>
        </w:rPr>
        <w:t xml:space="preserve"> </w:t>
      </w:r>
      <w:r w:rsidR="000304C2">
        <w:rPr>
          <w:rFonts w:ascii="Arial" w:hAnsi="Arial" w:cs="Arial"/>
          <w:lang w:val="es-ES"/>
        </w:rPr>
        <w:t>dedicación exclusiva deberán presentar</w:t>
      </w:r>
      <w:r w:rsidRPr="00B159DF">
        <w:rPr>
          <w:rFonts w:ascii="Arial" w:hAnsi="Arial" w:cs="Arial"/>
          <w:lang w:val="es-ES"/>
        </w:rPr>
        <w:t xml:space="preserve"> en el momento de la inscripción, un plan de trabajo orientado a tareas de investigación, avalado por un profesor que supervisará su desarrollo.-</w:t>
      </w:r>
    </w:p>
    <w:p w:rsidR="004237A2" w:rsidRDefault="004237A2" w:rsidP="00C36D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237A2" w:rsidRPr="00B159DF" w:rsidRDefault="004237A2" w:rsidP="004237A2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 w:rsidR="00B159DF">
        <w:rPr>
          <w:rFonts w:ascii="Arial" w:hAnsi="Arial" w:cs="Arial"/>
          <w:b/>
          <w:lang w:val="es-ES"/>
        </w:rPr>
        <w:t>5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4237A2" w:rsidRDefault="004237A2" w:rsidP="00C36D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04C2" w:rsidRDefault="000304C2" w:rsidP="000304C2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lang w:val="es-ES"/>
        </w:rPr>
        <w:lastRenderedPageBreak/>
        <w:t xml:space="preserve"> </w:t>
      </w:r>
      <w:r w:rsidRPr="00C36DB8">
        <w:rPr>
          <w:rFonts w:ascii="Arial" w:hAnsi="Arial" w:cs="Arial"/>
          <w:b/>
          <w:lang w:val="es-ES"/>
        </w:rPr>
        <w:t>///CDCIC-0</w:t>
      </w:r>
      <w:r w:rsidR="00494050">
        <w:rPr>
          <w:rFonts w:ascii="Arial" w:hAnsi="Arial" w:cs="Arial"/>
          <w:b/>
          <w:lang w:val="es-ES"/>
        </w:rPr>
        <w:t>81</w:t>
      </w:r>
      <w:r w:rsidRPr="00C36DB8">
        <w:rPr>
          <w:rFonts w:ascii="Arial" w:hAnsi="Arial" w:cs="Arial"/>
          <w:b/>
          <w:lang w:val="es-ES"/>
        </w:rPr>
        <w:t xml:space="preserve">/08                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B159DF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</w:t>
      </w:r>
      <w:r w:rsidR="00AB5297">
        <w:rPr>
          <w:rFonts w:ascii="Arial" w:hAnsi="Arial" w:cs="Arial"/>
          <w:lang w:val="es-ES"/>
        </w:rPr>
        <w:tab/>
        <w:t xml:space="preserve">                   </w:t>
      </w:r>
      <w:r w:rsidR="000304C2">
        <w:rPr>
          <w:rFonts w:ascii="Arial" w:hAnsi="Arial" w:cs="Arial"/>
          <w:lang w:val="es-ES"/>
        </w:rPr>
        <w:t xml:space="preserve">                     </w:t>
      </w:r>
      <w:r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76556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p w:rsidR="00A7515D" w:rsidRDefault="00A7515D" w:rsidP="00BF7EB7">
      <w:pPr>
        <w:ind w:firstLine="1418"/>
        <w:jc w:val="both"/>
        <w:rPr>
          <w:rFonts w:ascii="Arial" w:hAnsi="Arial"/>
          <w:lang w:val="es-ES_tradnl"/>
        </w:rPr>
      </w:pPr>
    </w:p>
    <w:sectPr w:rsidR="00A7515D" w:rsidSect="007A6B2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04C2"/>
    <w:rsid w:val="00034DB0"/>
    <w:rsid w:val="000514D3"/>
    <w:rsid w:val="00065416"/>
    <w:rsid w:val="000B4384"/>
    <w:rsid w:val="000C72A8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74C63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47C71"/>
    <w:rsid w:val="00255E75"/>
    <w:rsid w:val="002641EB"/>
    <w:rsid w:val="00276BEA"/>
    <w:rsid w:val="00283F5F"/>
    <w:rsid w:val="002859E2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400A0A"/>
    <w:rsid w:val="004043D7"/>
    <w:rsid w:val="004237A2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9405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845E4"/>
    <w:rsid w:val="005B5312"/>
    <w:rsid w:val="005B7D68"/>
    <w:rsid w:val="005C0F8D"/>
    <w:rsid w:val="005D34F1"/>
    <w:rsid w:val="005D3DF4"/>
    <w:rsid w:val="005F5BA5"/>
    <w:rsid w:val="006178E9"/>
    <w:rsid w:val="00617960"/>
    <w:rsid w:val="00630DB2"/>
    <w:rsid w:val="00634CB7"/>
    <w:rsid w:val="00634E3F"/>
    <w:rsid w:val="0064432B"/>
    <w:rsid w:val="00660C67"/>
    <w:rsid w:val="00663690"/>
    <w:rsid w:val="006642D7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55CDD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971A3"/>
    <w:rsid w:val="008A0C85"/>
    <w:rsid w:val="008A2A21"/>
    <w:rsid w:val="008A6865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515D"/>
    <w:rsid w:val="00A8328C"/>
    <w:rsid w:val="00A859CD"/>
    <w:rsid w:val="00A90967"/>
    <w:rsid w:val="00AA1003"/>
    <w:rsid w:val="00AB5297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59DF"/>
    <w:rsid w:val="00B204FA"/>
    <w:rsid w:val="00B20DB8"/>
    <w:rsid w:val="00B22213"/>
    <w:rsid w:val="00B27E7D"/>
    <w:rsid w:val="00B32EE3"/>
    <w:rsid w:val="00B42E8D"/>
    <w:rsid w:val="00B50A83"/>
    <w:rsid w:val="00B52650"/>
    <w:rsid w:val="00B55A99"/>
    <w:rsid w:val="00B71437"/>
    <w:rsid w:val="00BA4885"/>
    <w:rsid w:val="00BF7660"/>
    <w:rsid w:val="00BF7EB7"/>
    <w:rsid w:val="00C0578F"/>
    <w:rsid w:val="00C10560"/>
    <w:rsid w:val="00C2532E"/>
    <w:rsid w:val="00C36DB8"/>
    <w:rsid w:val="00C40E0B"/>
    <w:rsid w:val="00C42388"/>
    <w:rsid w:val="00C70FD1"/>
    <w:rsid w:val="00C95B1F"/>
    <w:rsid w:val="00CA003F"/>
    <w:rsid w:val="00CC3D5A"/>
    <w:rsid w:val="00CD78D9"/>
    <w:rsid w:val="00CE75F9"/>
    <w:rsid w:val="00CF3948"/>
    <w:rsid w:val="00CF4984"/>
    <w:rsid w:val="00CF6B01"/>
    <w:rsid w:val="00D04332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76556"/>
    <w:rsid w:val="00F87F6B"/>
    <w:rsid w:val="00F940E4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2008-05-29T13:27:00Z</cp:lastPrinted>
  <dcterms:created xsi:type="dcterms:W3CDTF">2025-07-06T04:45:00Z</dcterms:created>
  <dcterms:modified xsi:type="dcterms:W3CDTF">2025-07-06T04:45:00Z</dcterms:modified>
</cp:coreProperties>
</file>