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067972">
        <w:rPr>
          <w:color w:val="000000"/>
          <w:lang w:val="es-ES"/>
        </w:rPr>
        <w:t>0</w:t>
      </w:r>
      <w:r w:rsidR="0037519B">
        <w:rPr>
          <w:color w:val="000000"/>
          <w:lang w:val="es-ES"/>
        </w:rPr>
        <w:t>9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3364D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E70D6C" w:rsidRPr="00E70D6C" w:rsidRDefault="0037519B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Artificial Intelligence for Games (The Morgan Kaufmann)</w:t>
      </w:r>
      <w:r w:rsidR="00E70D6C">
        <w:rPr>
          <w:rFonts w:cs="Arial"/>
          <w:b/>
          <w:i/>
          <w:color w:val="000000"/>
          <w:sz w:val="24"/>
          <w:szCs w:val="18"/>
        </w:rPr>
        <w:t xml:space="preserve">. </w:t>
      </w:r>
      <w:r w:rsidR="00E70D6C" w:rsidRPr="00E70D6C">
        <w:rPr>
          <w:rFonts w:cs="Arial"/>
          <w:i/>
          <w:color w:val="000000"/>
          <w:sz w:val="24"/>
          <w:szCs w:val="18"/>
        </w:rPr>
        <w:t>Costo: U$S 6</w:t>
      </w:r>
      <w:r>
        <w:rPr>
          <w:rFonts w:cs="Arial"/>
          <w:i/>
          <w:color w:val="000000"/>
          <w:sz w:val="24"/>
          <w:szCs w:val="18"/>
        </w:rPr>
        <w:t>0</w:t>
      </w:r>
      <w:r w:rsidR="00E70D6C" w:rsidRPr="00E70D6C">
        <w:rPr>
          <w:rFonts w:cs="Arial"/>
          <w:i/>
          <w:color w:val="000000"/>
          <w:sz w:val="24"/>
          <w:szCs w:val="18"/>
        </w:rPr>
        <w:t>,</w:t>
      </w:r>
      <w:r>
        <w:rPr>
          <w:rFonts w:cs="Arial"/>
          <w:i/>
          <w:color w:val="000000"/>
          <w:sz w:val="24"/>
          <w:szCs w:val="18"/>
        </w:rPr>
        <w:t>55</w:t>
      </w:r>
    </w:p>
    <w:p w:rsidR="00E70D6C" w:rsidRPr="00E70D6C" w:rsidRDefault="0037519B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Computer Graphics Using OpenGl (3</w:t>
      </w:r>
      <w:r w:rsidRPr="0037519B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rd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 Editions)</w:t>
      </w:r>
      <w:r w:rsidR="00E70D6C"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E70D6C" w:rsidRPr="00E70D6C">
        <w:rPr>
          <w:rFonts w:cs="Arial"/>
          <w:bCs/>
          <w:i/>
          <w:iCs/>
          <w:color w:val="000000"/>
          <w:sz w:val="24"/>
          <w:szCs w:val="18"/>
        </w:rPr>
        <w:t xml:space="preserve">Costo U$S </w:t>
      </w:r>
      <w:r>
        <w:rPr>
          <w:rFonts w:cs="Arial"/>
          <w:bCs/>
          <w:i/>
          <w:iCs/>
          <w:color w:val="000000"/>
          <w:sz w:val="24"/>
          <w:szCs w:val="18"/>
        </w:rPr>
        <w:t>10</w:t>
      </w:r>
      <w:r w:rsidR="00E70D6C" w:rsidRPr="00E70D6C">
        <w:rPr>
          <w:rFonts w:cs="Arial"/>
          <w:bCs/>
          <w:i/>
          <w:iCs/>
          <w:color w:val="000000"/>
          <w:sz w:val="24"/>
          <w:szCs w:val="18"/>
        </w:rPr>
        <w:t>3,</w:t>
      </w:r>
      <w:r>
        <w:rPr>
          <w:rFonts w:cs="Arial"/>
          <w:bCs/>
          <w:i/>
          <w:iCs/>
          <w:color w:val="000000"/>
          <w:sz w:val="24"/>
          <w:szCs w:val="18"/>
        </w:rPr>
        <w:t>00</w:t>
      </w:r>
    </w:p>
    <w:p w:rsidR="00E70D6C" w:rsidRPr="00E70D6C" w:rsidRDefault="0037519B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Fundamentals of Database Systems (5</w:t>
      </w:r>
      <w:r w:rsidRPr="0037519B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th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 Edition)</w:t>
      </w:r>
      <w:r w:rsidR="00E70D6C"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E70D6C">
        <w:rPr>
          <w:rFonts w:cs="Arial"/>
          <w:bCs/>
          <w:i/>
          <w:iCs/>
          <w:color w:val="000000"/>
          <w:sz w:val="24"/>
          <w:szCs w:val="18"/>
        </w:rPr>
        <w:t>Costo: U$S</w:t>
      </w:r>
      <w:r>
        <w:rPr>
          <w:rFonts w:cs="Arial"/>
          <w:bCs/>
          <w:i/>
          <w:iCs/>
          <w:color w:val="000000"/>
          <w:sz w:val="24"/>
          <w:szCs w:val="18"/>
        </w:rPr>
        <w:t>100</w:t>
      </w:r>
      <w:r w:rsidR="00E70D6C">
        <w:rPr>
          <w:rFonts w:cs="Arial"/>
          <w:bCs/>
          <w:i/>
          <w:iCs/>
          <w:color w:val="000000"/>
          <w:sz w:val="24"/>
          <w:szCs w:val="18"/>
        </w:rPr>
        <w:t>,00</w:t>
      </w:r>
    </w:p>
    <w:p w:rsidR="00E70D6C" w:rsidRPr="0037519B" w:rsidRDefault="0037519B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 w:rsidRPr="0037519B">
        <w:rPr>
          <w:rFonts w:cs="Arial"/>
          <w:b/>
          <w:bCs/>
          <w:i/>
          <w:iCs/>
          <w:color w:val="000000"/>
          <w:sz w:val="24"/>
          <w:szCs w:val="18"/>
        </w:rPr>
        <w:t>Deduction: Introductory Symbolic Logic</w:t>
      </w:r>
      <w:r w:rsidR="00E70D6C" w:rsidRPr="0037519B"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E70D6C" w:rsidRPr="0037519B">
        <w:rPr>
          <w:rFonts w:cs="Arial"/>
          <w:bCs/>
          <w:i/>
          <w:iCs/>
          <w:color w:val="000000"/>
          <w:sz w:val="24"/>
          <w:szCs w:val="18"/>
        </w:rPr>
        <w:t xml:space="preserve">Costo: U$S </w:t>
      </w:r>
      <w:r>
        <w:rPr>
          <w:rFonts w:cs="Arial"/>
          <w:bCs/>
          <w:i/>
          <w:iCs/>
          <w:color w:val="000000"/>
          <w:sz w:val="24"/>
          <w:szCs w:val="18"/>
        </w:rPr>
        <w:t>54</w:t>
      </w:r>
      <w:r w:rsidR="00E70D6C" w:rsidRPr="0037519B">
        <w:rPr>
          <w:rFonts w:cs="Arial"/>
          <w:bCs/>
          <w:i/>
          <w:iCs/>
          <w:color w:val="000000"/>
          <w:sz w:val="24"/>
          <w:szCs w:val="18"/>
        </w:rPr>
        <w:t>,16</w:t>
      </w:r>
    </w:p>
    <w:p w:rsidR="007D10AC" w:rsidRPr="0037519B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7519B"/>
    <w:rsid w:val="003C1741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7D4452"/>
    <w:rsid w:val="0085049A"/>
    <w:rsid w:val="008724F8"/>
    <w:rsid w:val="008A4C2F"/>
    <w:rsid w:val="008E1D23"/>
    <w:rsid w:val="00901DB6"/>
    <w:rsid w:val="00916972"/>
    <w:rsid w:val="0093666F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AE34EF"/>
    <w:rsid w:val="00B21734"/>
    <w:rsid w:val="00B518D8"/>
    <w:rsid w:val="00B862D9"/>
    <w:rsid w:val="00B958E5"/>
    <w:rsid w:val="00C47263"/>
    <w:rsid w:val="00C624C2"/>
    <w:rsid w:val="00C63F7F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2025-07-06T04:53:00Z</dcterms:created>
  <dcterms:modified xsi:type="dcterms:W3CDTF">2025-07-06T04:53:00Z</dcterms:modified>
</cp:coreProperties>
</file>