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2A" w:rsidRDefault="00DC1B2A" w:rsidP="00DC1B2A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CDCIC-138/10</w:t>
      </w:r>
    </w:p>
    <w:p w:rsidR="00DC1B2A" w:rsidRDefault="00DC1B2A" w:rsidP="00DC1B2A">
      <w:pPr>
        <w:rPr>
          <w:rFonts w:ascii="Arial" w:hAnsi="Arial" w:cs="Arial"/>
          <w:b/>
          <w:sz w:val="24"/>
          <w:lang w:val="es-AR"/>
        </w:rPr>
      </w:pPr>
    </w:p>
    <w:p w:rsidR="00DC1B2A" w:rsidRDefault="00DC1B2A" w:rsidP="00DC1B2A">
      <w:pPr>
        <w:tabs>
          <w:tab w:val="left" w:pos="56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</w:rPr>
        <w:t xml:space="preserve"> BAHIA BLANCA</w:t>
      </w:r>
      <w:r>
        <w:rPr>
          <w:rFonts w:ascii="Arial" w:hAnsi="Arial" w:cs="Arial"/>
          <w:sz w:val="24"/>
        </w:rPr>
        <w:t xml:space="preserve">, </w:t>
      </w:r>
    </w:p>
    <w:p w:rsidR="00DC1B2A" w:rsidRDefault="00DC1B2A" w:rsidP="00DC1B2A">
      <w:pPr>
        <w:jc w:val="both"/>
        <w:rPr>
          <w:rFonts w:ascii="Arial" w:hAnsi="Arial" w:cs="Arial"/>
          <w:sz w:val="24"/>
        </w:rPr>
      </w:pPr>
    </w:p>
    <w:p w:rsidR="00DC1B2A" w:rsidRDefault="00DC1B2A" w:rsidP="00DC1B2A">
      <w:pPr>
        <w:rPr>
          <w:rFonts w:ascii="Arial" w:hAnsi="Arial" w:cs="Arial"/>
        </w:rPr>
      </w:pPr>
    </w:p>
    <w:p w:rsidR="00DC1B2A" w:rsidRDefault="00DC1B2A" w:rsidP="00DC1B2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VISTO: </w:t>
      </w:r>
    </w:p>
    <w:p w:rsidR="000424CB" w:rsidRPr="002505D5" w:rsidRDefault="000424CB" w:rsidP="00FF1F3F">
      <w:pPr>
        <w:jc w:val="both"/>
        <w:rPr>
          <w:rFonts w:ascii="Arial" w:hAnsi="Arial" w:cs="Arial"/>
          <w:sz w:val="24"/>
          <w:lang w:val="es-ES"/>
        </w:rPr>
      </w:pPr>
    </w:p>
    <w:p w:rsidR="000424CB" w:rsidRPr="00DC1B2A" w:rsidRDefault="000424CB" w:rsidP="00DC1B2A">
      <w:pPr>
        <w:autoSpaceDE w:val="0"/>
        <w:autoSpaceDN w:val="0"/>
        <w:adjustRightInd w:val="0"/>
        <w:ind w:firstLine="1416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sz w:val="24"/>
          <w:szCs w:val="24"/>
        </w:rPr>
        <w:t>La Res. CSU-458/2010 que prevé destinar fondos de para reforzar el financiamiento de los Proyectos de Grupos de Investigación (PGI-RE), en el marco del Contrato Programa 2005-2008 firmado entre la Secretaría de Políticas Universitarias y la Universidad Nacional del Sur; y</w:t>
      </w:r>
    </w:p>
    <w:p w:rsidR="000424CB" w:rsidRPr="002505D5" w:rsidRDefault="000424CB" w:rsidP="00FF1F3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:rsidR="000424CB" w:rsidRPr="00DB5875" w:rsidRDefault="000424CB" w:rsidP="00FF1F3F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</w:rPr>
      </w:pPr>
    </w:p>
    <w:p w:rsidR="000424CB" w:rsidRPr="00DB5875" w:rsidRDefault="000424CB" w:rsidP="00FF1F3F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lang w:val="es-ES"/>
        </w:rPr>
      </w:pPr>
      <w:r w:rsidRPr="00DB5875">
        <w:rPr>
          <w:rFonts w:ascii="Arial" w:hAnsi="Arial" w:cs="Arial"/>
          <w:b/>
          <w:sz w:val="24"/>
          <w:lang w:val="es-ES"/>
        </w:rPr>
        <w:t>C</w:t>
      </w:r>
      <w:r w:rsidR="00DC1B2A">
        <w:rPr>
          <w:rFonts w:ascii="Arial" w:hAnsi="Arial" w:cs="Arial"/>
          <w:b/>
          <w:sz w:val="24"/>
          <w:lang w:val="es-ES"/>
        </w:rPr>
        <w:t>ONSIDERANDO:</w:t>
      </w:r>
    </w:p>
    <w:p w:rsidR="000424CB" w:rsidRPr="002505D5" w:rsidRDefault="000424CB" w:rsidP="00FF1F3F">
      <w:pPr>
        <w:jc w:val="both"/>
        <w:rPr>
          <w:rFonts w:ascii="Arial" w:hAnsi="Arial" w:cs="Arial"/>
          <w:sz w:val="24"/>
          <w:lang w:val="es-ES"/>
        </w:rPr>
      </w:pPr>
    </w:p>
    <w:p w:rsidR="000424CB" w:rsidRPr="00DC1B2A" w:rsidRDefault="000424CB" w:rsidP="00DC1B2A">
      <w:pPr>
        <w:autoSpaceDE w:val="0"/>
        <w:autoSpaceDN w:val="0"/>
        <w:adjustRightInd w:val="0"/>
        <w:ind w:firstLine="1416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sz w:val="24"/>
          <w:szCs w:val="24"/>
        </w:rPr>
        <w:t xml:space="preserve">Que dicha Res. CSU-458/2010 faculta a los Departamentos a proponer la asignación de los subsidios a PGI-RE, para hacerlo en el marco de un proyecto institucional, entre los PGI vigentes, un proyecto interdepartamental o disponer de fondos como contrapartida para la adquisición de equipamiento en convocatorias de la UNS u otros </w:t>
      </w:r>
      <w:r w:rsidR="00DB5875" w:rsidRPr="00DC1B2A">
        <w:rPr>
          <w:rFonts w:ascii="Arial" w:hAnsi="Arial" w:cs="Arial"/>
          <w:sz w:val="24"/>
          <w:szCs w:val="24"/>
        </w:rPr>
        <w:t>organismos de Ciencia y Técnica;</w:t>
      </w:r>
    </w:p>
    <w:p w:rsidR="000424CB" w:rsidRPr="00DC1B2A" w:rsidRDefault="000424CB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0424CB" w:rsidRPr="00DC1B2A" w:rsidRDefault="000424CB" w:rsidP="00DC1B2A">
      <w:pPr>
        <w:autoSpaceDE w:val="0"/>
        <w:autoSpaceDN w:val="0"/>
        <w:adjustRightInd w:val="0"/>
        <w:ind w:firstLine="1416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sz w:val="24"/>
          <w:szCs w:val="24"/>
        </w:rPr>
        <w:t xml:space="preserve">Que dicha Resolución destina un monto de </w:t>
      </w:r>
      <w:r w:rsidR="00FD5E92" w:rsidRPr="00FD5E92">
        <w:rPr>
          <w:rFonts w:ascii="Arial" w:hAnsi="Arial" w:cs="Arial"/>
          <w:b/>
          <w:sz w:val="24"/>
          <w:szCs w:val="24"/>
        </w:rPr>
        <w:t>$</w:t>
      </w:r>
      <w:r w:rsidR="00FD5E92" w:rsidRPr="00DC1B2A">
        <w:rPr>
          <w:rFonts w:ascii="Arial" w:hAnsi="Arial" w:cs="Arial"/>
          <w:b/>
          <w:sz w:val="24"/>
          <w:szCs w:val="24"/>
        </w:rPr>
        <w:t xml:space="preserve"> </w:t>
      </w:r>
      <w:r w:rsidRPr="00DC1B2A">
        <w:rPr>
          <w:rFonts w:ascii="Arial" w:hAnsi="Arial" w:cs="Arial"/>
          <w:b/>
          <w:sz w:val="24"/>
          <w:szCs w:val="24"/>
        </w:rPr>
        <w:t xml:space="preserve">54.042 </w:t>
      </w:r>
      <w:r w:rsidRPr="00DC1B2A">
        <w:rPr>
          <w:rFonts w:ascii="Arial" w:hAnsi="Arial" w:cs="Arial"/>
          <w:sz w:val="24"/>
          <w:szCs w:val="24"/>
        </w:rPr>
        <w:t xml:space="preserve">al Departamento de </w:t>
      </w:r>
      <w:proofErr w:type="spellStart"/>
      <w:r w:rsidRPr="00DC1B2A">
        <w:rPr>
          <w:rFonts w:ascii="Arial" w:hAnsi="Arial" w:cs="Arial"/>
          <w:sz w:val="24"/>
          <w:szCs w:val="24"/>
        </w:rPr>
        <w:t>Cs</w:t>
      </w:r>
      <w:proofErr w:type="spellEnd"/>
      <w:r w:rsidRPr="00DC1B2A">
        <w:rPr>
          <w:rFonts w:ascii="Arial" w:hAnsi="Arial" w:cs="Arial"/>
          <w:sz w:val="24"/>
          <w:szCs w:val="24"/>
        </w:rPr>
        <w:t xml:space="preserve">. e Ing. de la Computación,  de acuerdo al porcentaje de producción científico-tecnológica aprobado para la </w:t>
      </w:r>
      <w:r w:rsidR="00DB5875" w:rsidRPr="00DC1B2A">
        <w:rPr>
          <w:rFonts w:ascii="Arial" w:hAnsi="Arial" w:cs="Arial"/>
          <w:sz w:val="24"/>
          <w:szCs w:val="24"/>
        </w:rPr>
        <w:t>distribución de fondos PGI 2009;</w:t>
      </w:r>
    </w:p>
    <w:p w:rsidR="000424CB" w:rsidRPr="00DC1B2A" w:rsidRDefault="000424CB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B5875" w:rsidRPr="00DC1B2A" w:rsidRDefault="000424CB" w:rsidP="00DC1B2A">
      <w:pPr>
        <w:autoSpaceDE w:val="0"/>
        <w:autoSpaceDN w:val="0"/>
        <w:adjustRightInd w:val="0"/>
        <w:ind w:firstLine="1416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sz w:val="24"/>
          <w:szCs w:val="24"/>
        </w:rPr>
        <w:t xml:space="preserve">Que los directores de los diferentes </w:t>
      </w:r>
      <w:proofErr w:type="spellStart"/>
      <w:r w:rsidRPr="00DC1B2A">
        <w:rPr>
          <w:rFonts w:ascii="Arial" w:hAnsi="Arial" w:cs="Arial"/>
          <w:sz w:val="24"/>
          <w:szCs w:val="24"/>
        </w:rPr>
        <w:t>PGIs</w:t>
      </w:r>
      <w:proofErr w:type="spellEnd"/>
      <w:r w:rsidRPr="00DC1B2A">
        <w:rPr>
          <w:rFonts w:ascii="Arial" w:hAnsi="Arial" w:cs="Arial"/>
          <w:sz w:val="24"/>
          <w:szCs w:val="24"/>
        </w:rPr>
        <w:t xml:space="preserve"> actualmente en ejecución se han reunido para consensuar un criterio de distribución de</w:t>
      </w:r>
      <w:r w:rsidR="00FF1F3F" w:rsidRPr="00DC1B2A">
        <w:rPr>
          <w:rFonts w:ascii="Arial" w:hAnsi="Arial" w:cs="Arial"/>
          <w:sz w:val="24"/>
          <w:szCs w:val="24"/>
        </w:rPr>
        <w:t xml:space="preserve">l monto antes mencionado, conviniendo </w:t>
      </w:r>
      <w:r w:rsidR="00DB5875" w:rsidRPr="00DC1B2A">
        <w:rPr>
          <w:rFonts w:ascii="Arial" w:hAnsi="Arial" w:cs="Arial"/>
          <w:sz w:val="24"/>
          <w:szCs w:val="24"/>
        </w:rPr>
        <w:t xml:space="preserve">en aplicar la política de distribuir dicho monto en igual proporción a la distribución realizada para los PGI 2009 entre los diferentes </w:t>
      </w:r>
      <w:proofErr w:type="spellStart"/>
      <w:r w:rsidR="00DB5875" w:rsidRPr="00DC1B2A">
        <w:rPr>
          <w:rFonts w:ascii="Arial" w:hAnsi="Arial" w:cs="Arial"/>
          <w:sz w:val="24"/>
          <w:szCs w:val="24"/>
        </w:rPr>
        <w:t>PGIs</w:t>
      </w:r>
      <w:proofErr w:type="spellEnd"/>
      <w:r w:rsidR="00DB5875" w:rsidRPr="00DC1B2A">
        <w:rPr>
          <w:rFonts w:ascii="Arial" w:hAnsi="Arial" w:cs="Arial"/>
          <w:sz w:val="24"/>
          <w:szCs w:val="24"/>
        </w:rPr>
        <w:t>;</w:t>
      </w:r>
    </w:p>
    <w:p w:rsidR="00DB5875" w:rsidRPr="00DC1B2A" w:rsidRDefault="00DB5875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B5875" w:rsidRPr="00DC1B2A" w:rsidRDefault="00DB5875" w:rsidP="00DC1B2A">
      <w:pPr>
        <w:autoSpaceDE w:val="0"/>
        <w:autoSpaceDN w:val="0"/>
        <w:adjustRightInd w:val="0"/>
        <w:ind w:firstLine="1416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sz w:val="24"/>
          <w:szCs w:val="24"/>
        </w:rPr>
        <w:t xml:space="preserve">Que esta decisión fue ratificada por el Consejo Departamental de </w:t>
      </w:r>
      <w:proofErr w:type="spellStart"/>
      <w:r w:rsidRPr="00DC1B2A">
        <w:rPr>
          <w:rFonts w:ascii="Arial" w:hAnsi="Arial" w:cs="Arial"/>
          <w:sz w:val="24"/>
          <w:szCs w:val="24"/>
        </w:rPr>
        <w:t>Cs</w:t>
      </w:r>
      <w:proofErr w:type="spellEnd"/>
      <w:r w:rsidRPr="00DC1B2A">
        <w:rPr>
          <w:rFonts w:ascii="Arial" w:hAnsi="Arial" w:cs="Arial"/>
          <w:sz w:val="24"/>
          <w:szCs w:val="24"/>
        </w:rPr>
        <w:t>. e Ing. de la Computación en su reun</w:t>
      </w:r>
      <w:r w:rsidR="00DC1B2A" w:rsidRPr="00DC1B2A">
        <w:rPr>
          <w:rFonts w:ascii="Arial" w:hAnsi="Arial" w:cs="Arial"/>
          <w:sz w:val="24"/>
          <w:szCs w:val="24"/>
        </w:rPr>
        <w:t>ión de fecha 8 de julio de 2010;</w:t>
      </w:r>
    </w:p>
    <w:p w:rsidR="00DC1B2A" w:rsidRDefault="00DC1B2A" w:rsidP="00DC1B2A">
      <w:pPr>
        <w:autoSpaceDE w:val="0"/>
        <w:autoSpaceDN w:val="0"/>
        <w:adjustRightInd w:val="0"/>
        <w:ind w:firstLine="1416"/>
        <w:jc w:val="both"/>
        <w:rPr>
          <w:rFonts w:ascii="Arial" w:hAnsi="Arial" w:cs="Arial"/>
          <w:szCs w:val="20"/>
        </w:rPr>
      </w:pPr>
    </w:p>
    <w:p w:rsidR="00DC1B2A" w:rsidRDefault="00DC1B2A" w:rsidP="00DC1B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DC1B2A" w:rsidRDefault="00DC1B2A" w:rsidP="00DC1B2A">
      <w:pPr>
        <w:jc w:val="both"/>
        <w:rPr>
          <w:rFonts w:ascii="Arial" w:hAnsi="Arial"/>
          <w:sz w:val="24"/>
        </w:rPr>
      </w:pPr>
    </w:p>
    <w:p w:rsidR="00DC1B2A" w:rsidRDefault="00DC1B2A" w:rsidP="00DC1B2A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08 de julio de 2010                       </w:t>
      </w:r>
    </w:p>
    <w:p w:rsidR="00DC1B2A" w:rsidRDefault="00DC1B2A" w:rsidP="00DC1B2A">
      <w:pPr>
        <w:jc w:val="both"/>
        <w:rPr>
          <w:rFonts w:ascii="Arial" w:hAnsi="Arial"/>
          <w:b/>
          <w:sz w:val="24"/>
        </w:rPr>
      </w:pPr>
    </w:p>
    <w:p w:rsidR="00DC1B2A" w:rsidRDefault="00DC1B2A" w:rsidP="00DC1B2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DB5875" w:rsidRDefault="00DB5875" w:rsidP="002505D5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:rsidR="000424CB" w:rsidRPr="00DC1B2A" w:rsidRDefault="000424CB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b/>
          <w:sz w:val="24"/>
          <w:szCs w:val="24"/>
        </w:rPr>
        <w:t>Art. 1</w:t>
      </w:r>
      <w:r w:rsidR="00DC1B2A" w:rsidRPr="00DC1B2A">
        <w:rPr>
          <w:rFonts w:ascii="Arial" w:hAnsi="Arial" w:cs="Arial"/>
          <w:b/>
          <w:sz w:val="24"/>
          <w:szCs w:val="24"/>
        </w:rPr>
        <w:t>º</w:t>
      </w:r>
      <w:r w:rsidRPr="00DC1B2A">
        <w:rPr>
          <w:rFonts w:ascii="Arial" w:hAnsi="Arial" w:cs="Arial"/>
          <w:b/>
          <w:sz w:val="24"/>
          <w:szCs w:val="24"/>
        </w:rPr>
        <w:t>)</w:t>
      </w:r>
      <w:r w:rsidRPr="00DC1B2A">
        <w:rPr>
          <w:rFonts w:ascii="Arial" w:hAnsi="Arial" w:cs="Arial"/>
          <w:sz w:val="24"/>
          <w:szCs w:val="24"/>
        </w:rPr>
        <w:t xml:space="preserve"> Establecer la distribución </w:t>
      </w:r>
      <w:r w:rsidR="00FF1F3F" w:rsidRPr="00DC1B2A">
        <w:rPr>
          <w:rFonts w:ascii="Arial" w:hAnsi="Arial" w:cs="Arial"/>
          <w:sz w:val="24"/>
          <w:szCs w:val="24"/>
        </w:rPr>
        <w:t xml:space="preserve">correspondiente al monto de refuerzo de los </w:t>
      </w:r>
      <w:proofErr w:type="spellStart"/>
      <w:r w:rsidR="00FF1F3F" w:rsidRPr="00DC1B2A">
        <w:rPr>
          <w:rFonts w:ascii="Arial" w:hAnsi="Arial" w:cs="Arial"/>
          <w:sz w:val="24"/>
          <w:szCs w:val="24"/>
        </w:rPr>
        <w:t>PGIs</w:t>
      </w:r>
      <w:proofErr w:type="spellEnd"/>
      <w:r w:rsidR="00FF1F3F" w:rsidRPr="00DC1B2A">
        <w:rPr>
          <w:rFonts w:ascii="Arial" w:hAnsi="Arial" w:cs="Arial"/>
          <w:sz w:val="24"/>
          <w:szCs w:val="24"/>
        </w:rPr>
        <w:t xml:space="preserve"> </w:t>
      </w:r>
      <w:r w:rsidR="002505D5" w:rsidRPr="00DC1B2A">
        <w:rPr>
          <w:rFonts w:ascii="Arial" w:hAnsi="Arial" w:cs="Arial"/>
          <w:sz w:val="24"/>
          <w:szCs w:val="24"/>
        </w:rPr>
        <w:t xml:space="preserve">(PGI-RE) </w:t>
      </w:r>
      <w:r w:rsidR="00DB5875" w:rsidRPr="00DC1B2A">
        <w:rPr>
          <w:rFonts w:ascii="Arial" w:hAnsi="Arial" w:cs="Arial"/>
          <w:sz w:val="24"/>
          <w:szCs w:val="24"/>
        </w:rPr>
        <w:t xml:space="preserve">establecidos por Res. CSU-458/2010 para </w:t>
      </w:r>
      <w:r w:rsidR="00FF1F3F" w:rsidRPr="00DC1B2A">
        <w:rPr>
          <w:rFonts w:ascii="Arial" w:hAnsi="Arial" w:cs="Arial"/>
          <w:sz w:val="24"/>
          <w:szCs w:val="24"/>
        </w:rPr>
        <w:t>esta Unidad Académica como se detalla en el Anexo de esta Resolución.</w:t>
      </w:r>
      <w:r w:rsidR="00DC1B2A">
        <w:rPr>
          <w:rFonts w:ascii="Arial" w:hAnsi="Arial" w:cs="Arial"/>
          <w:sz w:val="24"/>
          <w:szCs w:val="24"/>
        </w:rPr>
        <w:t>-</w:t>
      </w:r>
    </w:p>
    <w:p w:rsidR="002505D5" w:rsidRPr="00DC1B2A" w:rsidRDefault="002505D5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FF1F3F" w:rsidRPr="00DC1B2A" w:rsidRDefault="002505D5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b/>
          <w:sz w:val="24"/>
          <w:szCs w:val="24"/>
        </w:rPr>
        <w:t>Art.2</w:t>
      </w:r>
      <w:r w:rsidR="00DC1B2A">
        <w:rPr>
          <w:rFonts w:ascii="Arial" w:hAnsi="Arial" w:cs="Arial"/>
          <w:b/>
          <w:sz w:val="24"/>
          <w:szCs w:val="24"/>
        </w:rPr>
        <w:t>º</w:t>
      </w:r>
      <w:r w:rsidRPr="00DC1B2A">
        <w:rPr>
          <w:rFonts w:ascii="Arial" w:hAnsi="Arial" w:cs="Arial"/>
          <w:b/>
          <w:sz w:val="24"/>
          <w:szCs w:val="24"/>
        </w:rPr>
        <w:t>)</w:t>
      </w:r>
      <w:r w:rsidRPr="00DC1B2A">
        <w:rPr>
          <w:rFonts w:ascii="Arial" w:hAnsi="Arial" w:cs="Arial"/>
          <w:sz w:val="24"/>
          <w:szCs w:val="24"/>
        </w:rPr>
        <w:t xml:space="preserve"> Comunicar a los directores de los </w:t>
      </w:r>
      <w:proofErr w:type="spellStart"/>
      <w:r w:rsidRPr="00DC1B2A">
        <w:rPr>
          <w:rFonts w:ascii="Arial" w:hAnsi="Arial" w:cs="Arial"/>
          <w:sz w:val="24"/>
          <w:szCs w:val="24"/>
        </w:rPr>
        <w:t>PGIs</w:t>
      </w:r>
      <w:proofErr w:type="spellEnd"/>
      <w:r w:rsidRPr="00DC1B2A">
        <w:rPr>
          <w:rFonts w:ascii="Arial" w:hAnsi="Arial" w:cs="Arial"/>
          <w:sz w:val="24"/>
          <w:szCs w:val="24"/>
        </w:rPr>
        <w:t xml:space="preserve"> </w:t>
      </w:r>
      <w:r w:rsidR="00DB5875" w:rsidRPr="00DC1B2A">
        <w:rPr>
          <w:rFonts w:ascii="Arial" w:hAnsi="Arial" w:cs="Arial"/>
          <w:sz w:val="24"/>
          <w:szCs w:val="24"/>
        </w:rPr>
        <w:t>(</w:t>
      </w:r>
      <w:r w:rsidRPr="00DC1B2A">
        <w:rPr>
          <w:rFonts w:ascii="Arial" w:hAnsi="Arial" w:cs="Arial"/>
          <w:sz w:val="24"/>
          <w:szCs w:val="24"/>
        </w:rPr>
        <w:t xml:space="preserve">detallados en el </w:t>
      </w:r>
      <w:r w:rsidR="00DB5875" w:rsidRPr="00DC1B2A">
        <w:rPr>
          <w:rFonts w:ascii="Arial" w:hAnsi="Arial" w:cs="Arial"/>
          <w:sz w:val="24"/>
          <w:szCs w:val="24"/>
        </w:rPr>
        <w:t xml:space="preserve">Anexo) </w:t>
      </w:r>
      <w:r w:rsidRPr="00DC1B2A">
        <w:rPr>
          <w:rFonts w:ascii="Arial" w:hAnsi="Arial" w:cs="Arial"/>
          <w:sz w:val="24"/>
          <w:szCs w:val="24"/>
        </w:rPr>
        <w:t xml:space="preserve">que la ejecución del monto de refuerzo asignado a cada PGI </w:t>
      </w:r>
      <w:r w:rsidR="00DB5875" w:rsidRPr="00DC1B2A">
        <w:rPr>
          <w:rFonts w:ascii="Arial" w:hAnsi="Arial" w:cs="Arial"/>
          <w:sz w:val="24"/>
          <w:szCs w:val="24"/>
        </w:rPr>
        <w:t xml:space="preserve">deberá ajustarse </w:t>
      </w:r>
      <w:r w:rsidRPr="00DC1B2A">
        <w:rPr>
          <w:rFonts w:ascii="Arial" w:hAnsi="Arial" w:cs="Arial"/>
          <w:sz w:val="24"/>
          <w:szCs w:val="24"/>
        </w:rPr>
        <w:t>a lo establecido en la Res. CSU-458/2010.</w:t>
      </w:r>
      <w:r w:rsidR="00DC1B2A">
        <w:rPr>
          <w:rFonts w:ascii="Arial" w:hAnsi="Arial" w:cs="Arial"/>
          <w:sz w:val="24"/>
          <w:szCs w:val="24"/>
        </w:rPr>
        <w:t>-</w:t>
      </w:r>
      <w:r w:rsidRPr="00DC1B2A">
        <w:rPr>
          <w:rFonts w:ascii="Arial" w:hAnsi="Arial" w:cs="Arial"/>
          <w:sz w:val="24"/>
          <w:szCs w:val="24"/>
        </w:rPr>
        <w:t xml:space="preserve"> </w:t>
      </w:r>
    </w:p>
    <w:p w:rsidR="002505D5" w:rsidRPr="00DC1B2A" w:rsidRDefault="002505D5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FF1F3F" w:rsidRPr="00DC1B2A" w:rsidRDefault="00FF1F3F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C1B2A">
        <w:rPr>
          <w:rFonts w:ascii="Arial" w:hAnsi="Arial" w:cs="Arial"/>
          <w:b/>
          <w:sz w:val="24"/>
          <w:szCs w:val="24"/>
        </w:rPr>
        <w:t>Art.</w:t>
      </w:r>
      <w:r w:rsidR="002505D5" w:rsidRPr="00DC1B2A">
        <w:rPr>
          <w:rFonts w:ascii="Arial" w:hAnsi="Arial" w:cs="Arial"/>
          <w:b/>
          <w:sz w:val="24"/>
          <w:szCs w:val="24"/>
        </w:rPr>
        <w:t>3</w:t>
      </w:r>
      <w:r w:rsidR="00DC1B2A">
        <w:rPr>
          <w:rFonts w:ascii="Arial" w:hAnsi="Arial" w:cs="Arial"/>
          <w:b/>
          <w:sz w:val="24"/>
          <w:szCs w:val="24"/>
        </w:rPr>
        <w:t>º</w:t>
      </w:r>
      <w:r w:rsidRPr="00DC1B2A">
        <w:rPr>
          <w:rFonts w:ascii="Arial" w:hAnsi="Arial" w:cs="Arial"/>
          <w:b/>
          <w:sz w:val="24"/>
          <w:szCs w:val="24"/>
        </w:rPr>
        <w:t>)</w:t>
      </w:r>
      <w:r w:rsidRPr="00DC1B2A">
        <w:rPr>
          <w:rFonts w:ascii="Arial" w:hAnsi="Arial" w:cs="Arial"/>
          <w:sz w:val="24"/>
          <w:szCs w:val="24"/>
        </w:rPr>
        <w:t xml:space="preserve"> </w:t>
      </w:r>
      <w:r w:rsidR="00DB5875" w:rsidRPr="00DC1B2A">
        <w:rPr>
          <w:rFonts w:ascii="Arial" w:hAnsi="Arial" w:cs="Arial"/>
          <w:sz w:val="24"/>
          <w:szCs w:val="24"/>
        </w:rPr>
        <w:t xml:space="preserve">Regístrese; comuníquese </w:t>
      </w:r>
      <w:r w:rsidRPr="00DC1B2A">
        <w:rPr>
          <w:rFonts w:ascii="Arial" w:hAnsi="Arial" w:cs="Arial"/>
          <w:sz w:val="24"/>
          <w:szCs w:val="24"/>
        </w:rPr>
        <w:t xml:space="preserve">a la Secretaría General </w:t>
      </w:r>
      <w:r w:rsidR="00DB5875" w:rsidRPr="00DC1B2A">
        <w:rPr>
          <w:rFonts w:ascii="Arial" w:hAnsi="Arial" w:cs="Arial"/>
          <w:sz w:val="24"/>
          <w:szCs w:val="24"/>
        </w:rPr>
        <w:t>de Ciencia y Tecnología (</w:t>
      </w:r>
      <w:proofErr w:type="spellStart"/>
      <w:r w:rsidR="00DB5875" w:rsidRPr="00DC1B2A">
        <w:rPr>
          <w:rFonts w:ascii="Arial" w:hAnsi="Arial" w:cs="Arial"/>
          <w:sz w:val="24"/>
          <w:szCs w:val="24"/>
        </w:rPr>
        <w:t>SGCyT</w:t>
      </w:r>
      <w:proofErr w:type="spellEnd"/>
      <w:r w:rsidR="00DB5875" w:rsidRPr="00DC1B2A">
        <w:rPr>
          <w:rFonts w:ascii="Arial" w:hAnsi="Arial" w:cs="Arial"/>
          <w:sz w:val="24"/>
          <w:szCs w:val="24"/>
        </w:rPr>
        <w:t>) para su conocimiento; cumplido, archívese.--------------------------------------------</w:t>
      </w:r>
      <w:r w:rsidR="00DC1B2A">
        <w:rPr>
          <w:rFonts w:ascii="Arial" w:hAnsi="Arial" w:cs="Arial"/>
          <w:sz w:val="24"/>
          <w:szCs w:val="24"/>
        </w:rPr>
        <w:t>----</w:t>
      </w:r>
    </w:p>
    <w:p w:rsidR="00FF1F3F" w:rsidRPr="00DC1B2A" w:rsidRDefault="00FF1F3F" w:rsidP="00250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5D37F9" w:rsidRPr="005D37F9" w:rsidRDefault="005D37F9" w:rsidP="005D37F9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///CDCIC-138/10</w:t>
      </w:r>
    </w:p>
    <w:p w:rsidR="002505D5" w:rsidRPr="00DC1B2A" w:rsidRDefault="00FF1F3F" w:rsidP="00FF1F3F">
      <w:pPr>
        <w:jc w:val="center"/>
        <w:rPr>
          <w:b/>
          <w:sz w:val="28"/>
          <w:u w:val="single"/>
          <w:lang w:val="es-ES"/>
        </w:rPr>
      </w:pPr>
      <w:r w:rsidRPr="00DC1B2A">
        <w:rPr>
          <w:b/>
          <w:sz w:val="28"/>
          <w:u w:val="single"/>
          <w:lang w:val="es-ES"/>
        </w:rPr>
        <w:t xml:space="preserve">ANEXO </w:t>
      </w:r>
    </w:p>
    <w:p w:rsidR="002505D5" w:rsidRPr="002505D5" w:rsidRDefault="00FF1F3F" w:rsidP="00FF1F3F">
      <w:pPr>
        <w:jc w:val="center"/>
        <w:rPr>
          <w:i/>
          <w:lang w:val="es-ES"/>
        </w:rPr>
      </w:pPr>
      <w:r w:rsidRPr="002505D5">
        <w:rPr>
          <w:i/>
          <w:lang w:val="es-ES"/>
        </w:rPr>
        <w:t>Distribución PGI-RE (Res.CSU 458/2010)</w:t>
      </w:r>
      <w:r w:rsidR="002505D5" w:rsidRPr="002505D5">
        <w:rPr>
          <w:i/>
          <w:lang w:val="es-ES"/>
        </w:rPr>
        <w:t xml:space="preserve"> para </w:t>
      </w:r>
      <w:r w:rsidRPr="002505D5">
        <w:rPr>
          <w:i/>
          <w:lang w:val="es-ES"/>
        </w:rPr>
        <w:t xml:space="preserve">los diferentes </w:t>
      </w:r>
      <w:proofErr w:type="spellStart"/>
      <w:r w:rsidRPr="002505D5">
        <w:rPr>
          <w:i/>
          <w:lang w:val="es-ES"/>
        </w:rPr>
        <w:t>PGIs</w:t>
      </w:r>
      <w:proofErr w:type="spellEnd"/>
      <w:r w:rsidRPr="002505D5">
        <w:rPr>
          <w:i/>
          <w:lang w:val="es-ES"/>
        </w:rPr>
        <w:t xml:space="preserve"> en ejecución </w:t>
      </w:r>
    </w:p>
    <w:p w:rsidR="00FF1F3F" w:rsidRPr="002505D5" w:rsidRDefault="00FF1F3F" w:rsidP="00FF1F3F">
      <w:pPr>
        <w:jc w:val="center"/>
        <w:rPr>
          <w:i/>
          <w:lang w:val="es-ES"/>
        </w:rPr>
      </w:pPr>
      <w:r w:rsidRPr="002505D5">
        <w:rPr>
          <w:i/>
          <w:lang w:val="es-ES"/>
        </w:rPr>
        <w:t xml:space="preserve">en el Dep. de </w:t>
      </w:r>
      <w:proofErr w:type="spellStart"/>
      <w:r w:rsidRPr="002505D5">
        <w:rPr>
          <w:i/>
          <w:lang w:val="es-ES"/>
        </w:rPr>
        <w:t>Cs</w:t>
      </w:r>
      <w:proofErr w:type="spellEnd"/>
      <w:r w:rsidRPr="002505D5">
        <w:rPr>
          <w:i/>
          <w:lang w:val="es-ES"/>
        </w:rPr>
        <w:t>. e Ing. de la Computación</w:t>
      </w:r>
    </w:p>
    <w:p w:rsidR="00FF1F3F" w:rsidRDefault="00FF1F3F">
      <w:pPr>
        <w:rPr>
          <w:lang w:val="es-ES"/>
        </w:rPr>
      </w:pPr>
    </w:p>
    <w:tbl>
      <w:tblPr>
        <w:tblW w:w="93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3020"/>
        <w:gridCol w:w="3880"/>
        <w:gridCol w:w="1200"/>
      </w:tblGrid>
      <w:tr w:rsidR="00FF1F3F" w:rsidRPr="00FF1F3F">
        <w:trPr>
          <w:trHeight w:val="84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  <w:t>Cod</w:t>
            </w:r>
            <w:proofErr w:type="spellEnd"/>
            <w:r w:rsidRPr="00FF1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  <w:t>. PGI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  <w:t>Director(es)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  <w:t>Título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  <w:t>Monto asignado por PGI-RE</w:t>
            </w:r>
            <w:r w:rsidR="00BE26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  <w:t xml:space="preserve"> $</w:t>
            </w:r>
          </w:p>
        </w:tc>
      </w:tr>
      <w:tr w:rsidR="00FF1F3F" w:rsidRPr="00FF1F3F">
        <w:trPr>
          <w:trHeight w:val="5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24/ZN13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Maguitman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Ana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b/>
                <w:bCs/>
                <w:color w:val="23659E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b/>
                <w:bCs/>
                <w:color w:val="23659E"/>
                <w:sz w:val="20"/>
                <w:szCs w:val="20"/>
                <w:lang w:eastAsia="es-ES_tradnl"/>
              </w:rPr>
              <w:t> </w:t>
            </w: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SISTEMAS INTELIGENTES PARA EL ACCESO A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INFORMACIóN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EN CONTEXTO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2777</w:t>
            </w:r>
          </w:p>
        </w:tc>
      </w:tr>
      <w:tr w:rsidR="00FF1F3F" w:rsidRPr="00FF1F3F">
        <w:trPr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24/ZN18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García, Alejandro /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Falappa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Marcelo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Formalismos Argumentativos aplicados a Sistemas Inteligentes para la Toma de Decisiones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7529</w:t>
            </w:r>
          </w:p>
        </w:tc>
      </w:tr>
      <w:tr w:rsidR="00FF1F3F" w:rsidRPr="00FF1F3F">
        <w:trPr>
          <w:trHeight w:val="58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24/ZN20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Martinez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Diego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Agentes Inteligentes de Tiempo Real para Entornos Dinámicos y Juegos de Estrategia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2028</w:t>
            </w:r>
          </w:p>
        </w:tc>
      </w:tr>
      <w:tr w:rsidR="00FF1F3F" w:rsidRPr="00FF1F3F">
        <w:trPr>
          <w:trHeight w:val="6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24/N021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Estevez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Elsa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Gobernabilidad Electrónica: Teorías, Modelos y Aplicaciones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2914</w:t>
            </w:r>
          </w:p>
        </w:tc>
      </w:tr>
      <w:tr w:rsidR="00FF1F3F" w:rsidRPr="00FF1F3F">
        <w:trPr>
          <w:trHeight w:val="82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24/ZN16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Vazquez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Gustavo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Diseño de Métodos Basados en Inteligencia Computacional para la Predicción In-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Silico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 Propiedades ADME-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Tox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2028</w:t>
            </w:r>
          </w:p>
        </w:tc>
      </w:tr>
      <w:tr w:rsidR="00FF1F3F" w:rsidRPr="00FF1F3F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24/N023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Simari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Guillermo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REPRESENTACIóN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 CONOCIMIENTO,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ARGUMENTACIóN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Y APOYO A LA TOMA DE DECISIONES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10603</w:t>
            </w:r>
          </w:p>
        </w:tc>
      </w:tr>
      <w:tr w:rsidR="00FF1F3F" w:rsidRPr="00FF1F3F">
        <w:trPr>
          <w:trHeight w:val="1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Ponzoni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Ignacio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TéCNICAS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 APRENDIZAJE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AUTOMáTICO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Y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COMPUTACIóN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EVOLUTIVA APLICADAS AL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DISEñO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 MODELOS PREDICTIVOS EN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BIOINFORMáTICA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2028</w:t>
            </w:r>
          </w:p>
        </w:tc>
      </w:tr>
      <w:tr w:rsidR="00FF1F3F" w:rsidRPr="00FF1F3F">
        <w:trPr>
          <w:trHeight w:val="57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24/ZN14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Echaiz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Javier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AUTOMATIZACIóN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 LA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DETECCIóN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 INTRUSOS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2028</w:t>
            </w:r>
          </w:p>
        </w:tc>
      </w:tr>
      <w:tr w:rsidR="00FF1F3F" w:rsidRPr="00FF1F3F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24/N024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Ardenghi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Jorge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COMPUTACIóN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DISTRIBUIDA DE ALTO RENDIMIENTO Y DISPONIBILIDAD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3863</w:t>
            </w:r>
          </w:p>
        </w:tc>
      </w:tr>
      <w:tr w:rsidR="00FF1F3F" w:rsidRPr="00FF1F3F">
        <w:trPr>
          <w:trHeight w:val="37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24/ZN17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Capobianco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Marcela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Seguridad y Privacidad en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Android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2028</w:t>
            </w:r>
          </w:p>
        </w:tc>
      </w:tr>
      <w:tr w:rsidR="00FF1F3F" w:rsidRPr="00FF1F3F">
        <w:trPr>
          <w:trHeight w:val="54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24/N019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Brignole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Nélida Beatriz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APLICACIONES DE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COMPUTACIóN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CIENTíFICA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5758</w:t>
            </w:r>
          </w:p>
        </w:tc>
      </w:tr>
      <w:tr w:rsidR="00FF1F3F" w:rsidRPr="00FF1F3F">
        <w:trPr>
          <w:trHeight w:val="88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24/N022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Fillottrani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Pablo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LENGUAJES E INFERENCIA PARA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REPRESENTACIóN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DEL CONOCIMIENTO Y BASES DE DATOS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2939</w:t>
            </w:r>
          </w:p>
        </w:tc>
      </w:tr>
      <w:tr w:rsidR="00FF1F3F" w:rsidRPr="00FF1F3F">
        <w:trPr>
          <w:trHeight w:val="55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24/N020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Castro, Silvia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REPRESENTACIONES VISUALES E INTERACCIONES P/EL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ANáLISIS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VISUAL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5229</w:t>
            </w:r>
          </w:p>
        </w:tc>
      </w:tr>
      <w:tr w:rsidR="00FF1F3F" w:rsidRPr="00FF1F3F">
        <w:trPr>
          <w:trHeight w:val="57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24/ZN12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Martig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, Sergio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HERRAMIENTAS DE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VISUALIZACIóN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PARA LA </w:t>
            </w:r>
            <w:proofErr w:type="spellStart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EXPLORACIóN</w:t>
            </w:r>
            <w:proofErr w:type="spellEnd"/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 xml:space="preserve"> DE DATOS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</w:tcPr>
          <w:p w:rsidR="00FF1F3F" w:rsidRPr="00DC1B2A" w:rsidRDefault="00FF1F3F" w:rsidP="00FF1F3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DC1B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_tradnl"/>
              </w:rPr>
              <w:t>2291</w:t>
            </w:r>
          </w:p>
        </w:tc>
      </w:tr>
      <w:tr w:rsidR="00FF1F3F" w:rsidRPr="00FF1F3F">
        <w:trPr>
          <w:trHeight w:val="46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FF1F3F" w:rsidRPr="00FF1F3F" w:rsidRDefault="00FF1F3F" w:rsidP="00FF1F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 w:rsidRPr="00FF1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FF1F3F" w:rsidRPr="00BE2643" w:rsidRDefault="00FF1F3F" w:rsidP="00FF1F3F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ES_tradnl"/>
              </w:rPr>
            </w:pPr>
            <w:r w:rsidRPr="00BE2643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ES_tradnl"/>
              </w:rPr>
              <w:t>54042</w:t>
            </w:r>
          </w:p>
        </w:tc>
      </w:tr>
    </w:tbl>
    <w:p w:rsidR="00FF1F3F" w:rsidRDefault="00FF1F3F">
      <w:pPr>
        <w:rPr>
          <w:lang w:val="es-ES"/>
        </w:rPr>
      </w:pPr>
    </w:p>
    <w:sectPr w:rsidR="00FF1F3F" w:rsidSect="00DC1B2A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24CB"/>
    <w:rsid w:val="000424CB"/>
    <w:rsid w:val="000B1B94"/>
    <w:rsid w:val="001A2B57"/>
    <w:rsid w:val="002505D5"/>
    <w:rsid w:val="00462CBA"/>
    <w:rsid w:val="005772F1"/>
    <w:rsid w:val="005D37F9"/>
    <w:rsid w:val="008441D0"/>
    <w:rsid w:val="00BE2643"/>
    <w:rsid w:val="00CA5351"/>
    <w:rsid w:val="00D714C0"/>
    <w:rsid w:val="00D71669"/>
    <w:rsid w:val="00DB5875"/>
    <w:rsid w:val="00DC1B2A"/>
    <w:rsid w:val="00FD5E92"/>
    <w:rsid w:val="00FF1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51"/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DC1B2A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eastAsia="Times New Roman" w:hAnsi="Arial"/>
      <w:b/>
      <w:snapToGrid w:val="0"/>
      <w:sz w:val="24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Resolución</vt:lpstr>
    </vt:vector>
  </TitlesOfParts>
  <Company> 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</dc:title>
  <dc:subject/>
  <dc:creator> </dc:creator>
  <cp:keywords/>
  <dc:description/>
  <cp:lastModifiedBy>Keith</cp:lastModifiedBy>
  <cp:revision>2</cp:revision>
  <dcterms:created xsi:type="dcterms:W3CDTF">2025-07-06T16:39:00Z</dcterms:created>
  <dcterms:modified xsi:type="dcterms:W3CDTF">2025-07-06T16:39:00Z</dcterms:modified>
</cp:coreProperties>
</file>