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141C3D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DA2496">
        <w:rPr>
          <w:rFonts w:ascii="Arial" w:hAnsi="Arial" w:cs="Arial"/>
          <w:szCs w:val="24"/>
          <w:lang w:val="es-ES"/>
        </w:rPr>
        <w:t>0</w:t>
      </w:r>
      <w:r w:rsidR="00F8201E">
        <w:rPr>
          <w:rFonts w:ascii="Arial" w:hAnsi="Arial" w:cs="Arial"/>
          <w:szCs w:val="24"/>
          <w:lang w:val="es-ES"/>
        </w:rPr>
        <w:t>4</w:t>
      </w:r>
      <w:r w:rsidR="00DA2496">
        <w:rPr>
          <w:rFonts w:ascii="Arial" w:hAnsi="Arial" w:cs="Arial"/>
          <w:szCs w:val="24"/>
          <w:lang w:val="es-ES"/>
        </w:rPr>
        <w:t>9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DA2496">
        <w:rPr>
          <w:rFonts w:ascii="Arial" w:hAnsi="Arial" w:cs="Arial"/>
          <w:szCs w:val="24"/>
          <w:lang w:val="es-ES"/>
        </w:rPr>
        <w:t>1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D235F0" w:rsidP="002D25B8">
      <w:pPr>
        <w:ind w:firstLine="108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Que el 30 de octubre de 201</w:t>
      </w:r>
      <w:r w:rsidR="004815B3">
        <w:rPr>
          <w:rFonts w:ascii="Arial" w:hAnsi="Arial" w:cs="Arial"/>
          <w:szCs w:val="24"/>
          <w:lang w:val="es-ES"/>
        </w:rPr>
        <w:t>1</w:t>
      </w:r>
      <w:r>
        <w:rPr>
          <w:rFonts w:ascii="Arial" w:hAnsi="Arial" w:cs="Arial"/>
          <w:szCs w:val="24"/>
          <w:lang w:val="es-ES"/>
        </w:rPr>
        <w:t xml:space="preserve"> vence la </w:t>
      </w:r>
      <w:r w:rsidR="003D0CEC">
        <w:rPr>
          <w:rFonts w:ascii="Arial" w:hAnsi="Arial" w:cs="Arial"/>
          <w:szCs w:val="24"/>
          <w:lang w:val="es-ES"/>
        </w:rPr>
        <w:t xml:space="preserve">prórroga de </w:t>
      </w:r>
      <w:r>
        <w:rPr>
          <w:rFonts w:ascii="Arial" w:hAnsi="Arial" w:cs="Arial"/>
          <w:szCs w:val="24"/>
          <w:lang w:val="es-ES"/>
        </w:rPr>
        <w:t xml:space="preserve">designación de la </w:t>
      </w:r>
      <w:r w:rsidR="00662D71">
        <w:rPr>
          <w:rFonts w:ascii="Arial" w:hAnsi="Arial" w:cs="Arial"/>
          <w:szCs w:val="24"/>
          <w:lang w:val="es-ES"/>
        </w:rPr>
        <w:t xml:space="preserve">Lic. María Mercedes </w:t>
      </w:r>
      <w:proofErr w:type="spellStart"/>
      <w:r w:rsidR="00662D71">
        <w:rPr>
          <w:rFonts w:ascii="Arial" w:hAnsi="Arial" w:cs="Arial"/>
          <w:szCs w:val="24"/>
          <w:lang w:val="es-ES"/>
        </w:rPr>
        <w:t>Vitturini</w:t>
      </w:r>
      <w:proofErr w:type="spellEnd"/>
      <w:r>
        <w:rPr>
          <w:rFonts w:ascii="Arial" w:hAnsi="Arial" w:cs="Arial"/>
          <w:szCs w:val="24"/>
          <w:lang w:val="es-ES_tradnl"/>
        </w:rPr>
        <w:t xml:space="preserve"> en su cargo d</w:t>
      </w:r>
      <w:r w:rsidR="002D25B8">
        <w:rPr>
          <w:rFonts w:ascii="Arial" w:hAnsi="Arial" w:cs="Arial"/>
          <w:szCs w:val="24"/>
          <w:lang w:val="es-ES_tradnl"/>
        </w:rPr>
        <w:t>e Profesor Adjunto con dedicació</w:t>
      </w:r>
      <w:r>
        <w:rPr>
          <w:rFonts w:ascii="Arial" w:hAnsi="Arial" w:cs="Arial"/>
          <w:szCs w:val="24"/>
          <w:lang w:val="es-ES_tradnl"/>
        </w:rPr>
        <w:t>n excl</w:t>
      </w:r>
      <w:r w:rsidR="002D25B8">
        <w:rPr>
          <w:rFonts w:ascii="Arial" w:hAnsi="Arial" w:cs="Arial"/>
          <w:szCs w:val="24"/>
          <w:lang w:val="es-ES_tradnl"/>
        </w:rPr>
        <w:t xml:space="preserve">usiva, asignatura </w:t>
      </w:r>
      <w:r w:rsidR="00662D71">
        <w:rPr>
          <w:rFonts w:ascii="Arial" w:hAnsi="Arial" w:cs="Arial"/>
          <w:szCs w:val="24"/>
          <w:lang w:val="es-ES_tradnl"/>
        </w:rPr>
        <w:t>Elementos de Base de Datos</w:t>
      </w:r>
      <w:r w:rsidR="002D25B8">
        <w:rPr>
          <w:rFonts w:ascii="Arial" w:hAnsi="Arial" w:cs="Arial"/>
          <w:szCs w:val="24"/>
          <w:lang w:val="es-ES_tradnl"/>
        </w:rPr>
        <w:t>;</w:t>
      </w:r>
      <w:r w:rsidR="00662D71">
        <w:rPr>
          <w:rFonts w:ascii="Arial" w:hAnsi="Arial" w:cs="Arial"/>
          <w:szCs w:val="24"/>
          <w:lang w:val="es-ES_tradnl"/>
        </w:rPr>
        <w:t xml:space="preserve"> </w:t>
      </w:r>
    </w:p>
    <w:p w:rsidR="004815B3" w:rsidRDefault="004815B3" w:rsidP="002D25B8">
      <w:pPr>
        <w:ind w:firstLine="1080"/>
        <w:rPr>
          <w:rFonts w:ascii="Arial" w:hAnsi="Arial" w:cs="Arial"/>
          <w:szCs w:val="24"/>
          <w:lang w:val="es-ES"/>
        </w:rPr>
      </w:pPr>
    </w:p>
    <w:p w:rsidR="004815B3" w:rsidRDefault="004815B3" w:rsidP="004815B3">
      <w:pPr>
        <w:ind w:firstLine="144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La resolución CDCIC-248</w:t>
      </w:r>
      <w:r w:rsidRPr="008142A7">
        <w:rPr>
          <w:rFonts w:ascii="Arial" w:hAnsi="Arial" w:cs="Arial"/>
          <w:szCs w:val="24"/>
          <w:lang w:val="es-ES"/>
        </w:rPr>
        <w:t>/</w:t>
      </w:r>
      <w:r>
        <w:rPr>
          <w:rFonts w:ascii="Arial" w:hAnsi="Arial" w:cs="Arial"/>
          <w:szCs w:val="24"/>
          <w:lang w:val="es-ES"/>
        </w:rPr>
        <w:t>1</w:t>
      </w:r>
      <w:r w:rsidRPr="008142A7">
        <w:rPr>
          <w:rFonts w:ascii="Arial" w:hAnsi="Arial" w:cs="Arial"/>
          <w:szCs w:val="24"/>
          <w:lang w:val="es-ES"/>
        </w:rPr>
        <w:t>0 por la cual se solicita al Consejo Superior Universitario autorización para llamar a concurso de Profesores Ordinarios; y</w:t>
      </w:r>
    </w:p>
    <w:p w:rsidR="000A70E9" w:rsidRDefault="000A70E9">
      <w:pPr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4815B3" w:rsidRDefault="004815B3" w:rsidP="004815B3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</w:t>
      </w:r>
    </w:p>
    <w:p w:rsidR="004815B3" w:rsidRDefault="004815B3" w:rsidP="004815B3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Resolución CU-</w:t>
      </w:r>
      <w:r>
        <w:rPr>
          <w:rFonts w:ascii="Arial" w:hAnsi="Arial" w:cs="Arial"/>
          <w:lang w:val="es-ES"/>
        </w:rPr>
        <w:t>229/08</w:t>
      </w:r>
      <w:r w:rsidRPr="0004159C">
        <w:rPr>
          <w:rFonts w:ascii="Arial" w:hAnsi="Arial" w:cs="Arial"/>
          <w:lang w:val="es-ES"/>
        </w:rPr>
        <w:t xml:space="preserve">, los mismos serán dispuestos por los Consejos Departamentales previa autorización del Consejo Superior Universitario; </w:t>
      </w:r>
    </w:p>
    <w:p w:rsidR="004815B3" w:rsidRDefault="004815B3" w:rsidP="004815B3">
      <w:pPr>
        <w:rPr>
          <w:rFonts w:ascii="Arial" w:hAnsi="Arial" w:cs="Arial"/>
          <w:lang w:val="es-ES"/>
        </w:rPr>
      </w:pPr>
    </w:p>
    <w:p w:rsidR="004815B3" w:rsidRDefault="004815B3" w:rsidP="004815B3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según el art. 14º del Reglamento de Concursos de Profesores </w:t>
      </w:r>
      <w:proofErr w:type="spellStart"/>
      <w:r>
        <w:rPr>
          <w:rFonts w:ascii="Arial" w:hAnsi="Arial" w:cs="Arial"/>
          <w:lang w:val="es-ES"/>
        </w:rPr>
        <w:t>Ordinrios</w:t>
      </w:r>
      <w:proofErr w:type="spellEnd"/>
      <w:r>
        <w:rPr>
          <w:rFonts w:ascii="Arial" w:hAnsi="Arial" w:cs="Arial"/>
          <w:lang w:val="es-ES"/>
        </w:rPr>
        <w:t>, res. CSU-229/08,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4815B3" w:rsidRDefault="004815B3" w:rsidP="004815B3">
      <w:pPr>
        <w:ind w:firstLine="708"/>
        <w:rPr>
          <w:rFonts w:ascii="Arial" w:hAnsi="Arial" w:cs="Arial"/>
          <w:lang w:val="es-ES"/>
        </w:rPr>
      </w:pPr>
    </w:p>
    <w:p w:rsidR="004815B3" w:rsidRPr="008142A7" w:rsidRDefault="004815B3" w:rsidP="004815B3">
      <w:pPr>
        <w:ind w:firstLine="1418"/>
        <w:rPr>
          <w:rFonts w:ascii="Arial" w:hAnsi="Arial" w:cs="Arial"/>
          <w:lang w:val="es-ES"/>
        </w:rPr>
      </w:pPr>
      <w:r w:rsidRPr="008142A7">
        <w:rPr>
          <w:rFonts w:ascii="Arial" w:hAnsi="Arial" w:cs="Arial"/>
          <w:lang w:val="es-ES"/>
        </w:rPr>
        <w:t xml:space="preserve">Que el Consejo Superior Universitario en su reunión de fecha </w:t>
      </w:r>
      <w:r>
        <w:rPr>
          <w:rFonts w:ascii="Arial" w:hAnsi="Arial" w:cs="Arial"/>
          <w:lang w:val="es-ES"/>
        </w:rPr>
        <w:t>04</w:t>
      </w:r>
      <w:r w:rsidRPr="008142A7">
        <w:rPr>
          <w:rFonts w:ascii="Arial" w:hAnsi="Arial" w:cs="Arial"/>
          <w:lang w:val="es-ES"/>
        </w:rPr>
        <w:t xml:space="preserve"> de ma</w:t>
      </w:r>
      <w:r>
        <w:rPr>
          <w:rFonts w:ascii="Arial" w:hAnsi="Arial" w:cs="Arial"/>
          <w:lang w:val="es-ES"/>
        </w:rPr>
        <w:t>rz</w:t>
      </w:r>
      <w:r w:rsidRPr="008142A7">
        <w:rPr>
          <w:rFonts w:ascii="Arial" w:hAnsi="Arial" w:cs="Arial"/>
          <w:lang w:val="es-ES"/>
        </w:rPr>
        <w:t>o de 201</w:t>
      </w:r>
      <w:r>
        <w:rPr>
          <w:rFonts w:ascii="Arial" w:hAnsi="Arial" w:cs="Arial"/>
          <w:lang w:val="es-ES"/>
        </w:rPr>
        <w:t>1</w:t>
      </w:r>
      <w:r w:rsidRPr="008142A7">
        <w:rPr>
          <w:rFonts w:ascii="Arial" w:hAnsi="Arial" w:cs="Arial"/>
          <w:lang w:val="es-ES"/>
        </w:rPr>
        <w:t xml:space="preserve"> autorizó el llamado a concurso por Res. CSU-</w:t>
      </w:r>
      <w:r>
        <w:rPr>
          <w:rFonts w:ascii="Arial" w:hAnsi="Arial" w:cs="Arial"/>
          <w:lang w:val="es-ES"/>
        </w:rPr>
        <w:t>025</w:t>
      </w:r>
      <w:r w:rsidRPr="008142A7">
        <w:rPr>
          <w:rFonts w:ascii="Arial" w:hAnsi="Arial" w:cs="Arial"/>
          <w:lang w:val="es-ES"/>
        </w:rPr>
        <w:t>/1</w:t>
      </w:r>
      <w:r>
        <w:rPr>
          <w:rFonts w:ascii="Arial" w:hAnsi="Arial" w:cs="Arial"/>
          <w:lang w:val="es-ES"/>
        </w:rPr>
        <w:t>1</w:t>
      </w:r>
      <w:r w:rsidRPr="008142A7">
        <w:rPr>
          <w:rFonts w:ascii="Arial" w:hAnsi="Arial" w:cs="Arial"/>
          <w:lang w:val="es-ES"/>
        </w:rPr>
        <w:t>;</w:t>
      </w:r>
    </w:p>
    <w:p w:rsidR="006827E4" w:rsidRDefault="006827E4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4815B3">
        <w:rPr>
          <w:rFonts w:ascii="Arial" w:hAnsi="Arial" w:cs="Arial"/>
          <w:b/>
          <w:szCs w:val="24"/>
          <w:lang w:val="es-ES"/>
        </w:rPr>
        <w:t>16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4815B3">
        <w:rPr>
          <w:rFonts w:ascii="Arial" w:hAnsi="Arial" w:cs="Arial"/>
          <w:b/>
          <w:szCs w:val="24"/>
          <w:lang w:val="es-ES"/>
        </w:rPr>
        <w:t>marzo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</w:t>
      </w:r>
      <w:r w:rsidR="004815B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20</w:t>
      </w:r>
      <w:r w:rsidR="00414453">
        <w:rPr>
          <w:rFonts w:ascii="Arial" w:hAnsi="Arial" w:cs="Arial"/>
          <w:b/>
          <w:szCs w:val="24"/>
          <w:lang w:val="es-ES"/>
        </w:rPr>
        <w:t>1</w:t>
      </w:r>
      <w:r w:rsidR="004815B3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91028C">
        <w:rPr>
          <w:rFonts w:ascii="Arial" w:hAnsi="Arial" w:cs="Arial"/>
          <w:b/>
          <w:szCs w:val="24"/>
          <w:lang w:val="es-ES"/>
        </w:rPr>
        <w:t>Art. 1º)</w:t>
      </w:r>
      <w:r w:rsidRPr="0091028C">
        <w:rPr>
          <w:rFonts w:ascii="Arial" w:hAnsi="Arial" w:cs="Arial"/>
          <w:szCs w:val="24"/>
          <w:lang w:val="es-ES"/>
        </w:rPr>
        <w:t>.-</w:t>
      </w:r>
      <w:r w:rsidR="00414453" w:rsidRPr="00F8186E">
        <w:rPr>
          <w:rFonts w:ascii="Arial" w:hAnsi="Arial" w:cs="Arial"/>
          <w:lang w:val="es-ES"/>
        </w:rPr>
        <w:t xml:space="preserve"> </w:t>
      </w:r>
      <w:r w:rsidR="004815B3">
        <w:rPr>
          <w:rFonts w:ascii="Arial" w:hAnsi="Arial" w:cs="Arial"/>
          <w:lang w:val="es-ES"/>
        </w:rPr>
        <w:t>L</w:t>
      </w:r>
      <w:r w:rsidR="00414453" w:rsidRPr="00F8186E">
        <w:rPr>
          <w:rFonts w:ascii="Arial" w:hAnsi="Arial" w:cs="Arial"/>
          <w:lang w:val="es-ES"/>
        </w:rPr>
        <w:t>lamar a concurso</w:t>
      </w:r>
      <w:r w:rsidR="00414453">
        <w:rPr>
          <w:rFonts w:ascii="Arial" w:hAnsi="Arial" w:cs="Arial"/>
          <w:lang w:val="es-ES"/>
        </w:rPr>
        <w:t xml:space="preserve"> </w:t>
      </w:r>
      <w:r w:rsidR="00662D71">
        <w:rPr>
          <w:rFonts w:ascii="Arial" w:hAnsi="Arial" w:cs="Arial"/>
          <w:lang w:val="es-ES"/>
        </w:rPr>
        <w:t xml:space="preserve">“por reválida” </w:t>
      </w:r>
      <w:r w:rsidR="00F8201E">
        <w:rPr>
          <w:rFonts w:ascii="Arial" w:hAnsi="Arial" w:cs="Arial"/>
          <w:lang w:val="es-ES"/>
        </w:rPr>
        <w:t>e</w:t>
      </w:r>
      <w:r w:rsidR="00414453">
        <w:rPr>
          <w:rFonts w:ascii="Arial" w:hAnsi="Arial" w:cs="Arial"/>
          <w:lang w:val="es-ES"/>
        </w:rPr>
        <w:t>l</w:t>
      </w:r>
      <w:r w:rsidR="00414453"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III: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Desarrollo de 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662D71" w:rsidRPr="00662D71">
        <w:rPr>
          <w:rFonts w:ascii="Arial" w:hAnsi="Arial" w:cs="Arial"/>
          <w:b/>
          <w:szCs w:val="24"/>
          <w:lang w:val="es-ES"/>
        </w:rPr>
        <w:t>Elementos de</w:t>
      </w:r>
      <w:r w:rsidR="00662D71">
        <w:rPr>
          <w:rFonts w:ascii="Arial" w:hAnsi="Arial" w:cs="Arial"/>
          <w:szCs w:val="24"/>
          <w:lang w:val="es-ES"/>
        </w:rPr>
        <w:t xml:space="preserve"> </w:t>
      </w:r>
      <w:r w:rsidR="00662D71">
        <w:rPr>
          <w:rFonts w:ascii="Arial" w:hAnsi="Arial" w:cs="Arial"/>
          <w:b/>
          <w:szCs w:val="24"/>
          <w:lang w:val="es-ES"/>
        </w:rPr>
        <w:t xml:space="preserve">Base de Datos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Un (1) cargo de Profesor Adjunto con dedicación </w:t>
      </w:r>
      <w:proofErr w:type="spellStart"/>
      <w:r w:rsidR="00662D71">
        <w:rPr>
          <w:rFonts w:ascii="Arial" w:hAnsi="Arial" w:cs="Arial"/>
          <w:szCs w:val="24"/>
          <w:lang w:val="es-ES"/>
        </w:rPr>
        <w:t>semi</w:t>
      </w:r>
      <w:r>
        <w:rPr>
          <w:rFonts w:ascii="Arial" w:hAnsi="Arial" w:cs="Arial"/>
          <w:szCs w:val="24"/>
          <w:lang w:val="es-ES"/>
        </w:rPr>
        <w:t>exclusiva</w:t>
      </w:r>
      <w:proofErr w:type="spellEnd"/>
    </w:p>
    <w:p w:rsidR="00667ACC" w:rsidRDefault="00667ACC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>.- Proponer la designación como miembros del Jurado</w:t>
      </w:r>
      <w:r w:rsidR="00662D71">
        <w:rPr>
          <w:rFonts w:ascii="Arial" w:hAnsi="Arial" w:cs="Arial"/>
          <w:szCs w:val="24"/>
          <w:lang w:val="es-ES"/>
        </w:rPr>
        <w:t xml:space="preserve"> que deberá</w:t>
      </w:r>
      <w:r>
        <w:rPr>
          <w:rFonts w:ascii="Arial" w:hAnsi="Arial" w:cs="Arial"/>
          <w:szCs w:val="24"/>
          <w:lang w:val="es-ES"/>
        </w:rPr>
        <w:t xml:space="preserve"> entender en </w:t>
      </w:r>
      <w:r w:rsidR="00662D71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A85EBC" w:rsidRPr="00A85EBC" w:rsidRDefault="00AD5427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Elementos de Base de Datos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1"/>
        <w:gridCol w:w="4252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111" w:type="dxa"/>
          </w:tcPr>
          <w:p w:rsidR="000A70E9" w:rsidRPr="00A85EBC" w:rsidRDefault="00A85EB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TITULARES</w:t>
            </w:r>
          </w:p>
        </w:tc>
        <w:tc>
          <w:tcPr>
            <w:tcW w:w="4252" w:type="dxa"/>
          </w:tcPr>
          <w:p w:rsidR="000A70E9" w:rsidRPr="00A85EBC" w:rsidRDefault="00A85EBC">
            <w:pPr>
              <w:pStyle w:val="Ttulo1"/>
              <w:jc w:val="center"/>
              <w:rPr>
                <w:szCs w:val="24"/>
              </w:rPr>
            </w:pPr>
            <w:r>
              <w:rPr>
                <w:szCs w:val="24"/>
              </w:rPr>
              <w:t>TITULARES</w:t>
            </w:r>
          </w:p>
        </w:tc>
      </w:tr>
      <w:tr w:rsidR="000A70E9" w:rsidRPr="000A4230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bottom w:val="nil"/>
            </w:tcBorders>
          </w:tcPr>
          <w:p w:rsidR="000A70E9" w:rsidRPr="000A4230" w:rsidRDefault="000A70E9">
            <w:pPr>
              <w:rPr>
                <w:rFonts w:ascii="Book Antiqua" w:hAnsi="Book Antiqua" w:cs="Arial"/>
                <w:szCs w:val="24"/>
              </w:rPr>
            </w:pPr>
            <w:proofErr w:type="spellStart"/>
            <w:r w:rsidRPr="000A4230">
              <w:rPr>
                <w:rFonts w:ascii="Book Antiqua" w:hAnsi="Book Antiqua" w:cs="Arial"/>
                <w:szCs w:val="24"/>
              </w:rPr>
              <w:t>Ing</w:t>
            </w:r>
            <w:proofErr w:type="spellEnd"/>
            <w:r w:rsidR="000A4230" w:rsidRPr="000A4230">
              <w:rPr>
                <w:rFonts w:ascii="Book Antiqua" w:hAnsi="Book Antiqua" w:cs="Arial"/>
                <w:szCs w:val="24"/>
              </w:rPr>
              <w:t>.</w:t>
            </w:r>
            <w:r w:rsidRPr="000A4230">
              <w:rPr>
                <w:rFonts w:ascii="Book Antiqua" w:hAnsi="Book Antiqua" w:cs="Arial"/>
                <w:szCs w:val="24"/>
              </w:rPr>
              <w:t xml:space="preserve"> Armando E. </w:t>
            </w:r>
            <w:r w:rsidRPr="000A4230">
              <w:rPr>
                <w:rFonts w:ascii="Book Antiqua" w:hAnsi="Book Antiqua" w:cs="Arial"/>
                <w:smallCaps/>
                <w:szCs w:val="24"/>
              </w:rPr>
              <w:t>De G</w:t>
            </w:r>
            <w:r w:rsidR="003D0CEC">
              <w:rPr>
                <w:rFonts w:ascii="Book Antiqua" w:hAnsi="Book Antiqua" w:cs="Arial"/>
                <w:smallCaps/>
                <w:szCs w:val="24"/>
              </w:rPr>
              <w:t>IUSTI</w:t>
            </w:r>
          </w:p>
        </w:tc>
        <w:tc>
          <w:tcPr>
            <w:tcW w:w="4252" w:type="dxa"/>
            <w:tcBorders>
              <w:bottom w:val="nil"/>
            </w:tcBorders>
          </w:tcPr>
          <w:p w:rsidR="000A70E9" w:rsidRPr="000A4230" w:rsidRDefault="00021E21">
            <w:pPr>
              <w:rPr>
                <w:rFonts w:ascii="Book Antiqua" w:hAnsi="Book Antiqua" w:cs="Arial"/>
                <w:szCs w:val="24"/>
              </w:rPr>
            </w:pPr>
            <w:r w:rsidRPr="00021E21">
              <w:rPr>
                <w:rFonts w:ascii="Book Antiqua" w:hAnsi="Book Antiqua" w:cs="Arial"/>
                <w:szCs w:val="24"/>
                <w:lang w:val="pt-BR"/>
              </w:rPr>
              <w:t xml:space="preserve">Lic. </w:t>
            </w:r>
            <w:r w:rsidRPr="000A4230">
              <w:rPr>
                <w:rFonts w:ascii="Book Antiqua" w:hAnsi="Book Antiqua" w:cs="Arial"/>
                <w:szCs w:val="24"/>
              </w:rPr>
              <w:t>Patricia M</w:t>
            </w:r>
            <w:r w:rsidR="00F53A65">
              <w:rPr>
                <w:rFonts w:ascii="Book Antiqua" w:hAnsi="Book Antiqua" w:cs="Arial"/>
                <w:szCs w:val="24"/>
              </w:rPr>
              <w:t xml:space="preserve">abel </w:t>
            </w:r>
            <w:r w:rsidRPr="000A4230">
              <w:rPr>
                <w:rFonts w:ascii="Book Antiqua" w:hAnsi="Book Antiqua" w:cs="Arial"/>
                <w:smallCaps/>
                <w:szCs w:val="24"/>
              </w:rPr>
              <w:t>P</w:t>
            </w:r>
            <w:r w:rsidR="003D0CEC">
              <w:rPr>
                <w:rFonts w:ascii="Book Antiqua" w:hAnsi="Book Antiqua" w:cs="Arial"/>
                <w:smallCaps/>
                <w:szCs w:val="24"/>
              </w:rPr>
              <w:t>ESADO</w:t>
            </w:r>
          </w:p>
        </w:tc>
      </w:tr>
      <w:tr w:rsidR="003C1F4B" w:rsidRPr="009C63B8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</w:tcBorders>
          </w:tcPr>
          <w:p w:rsidR="003C1F4B" w:rsidRPr="000A4230" w:rsidRDefault="00021E21">
            <w:pPr>
              <w:rPr>
                <w:rFonts w:ascii="Book Antiqua" w:hAnsi="Book Antiqua" w:cs="Arial"/>
                <w:szCs w:val="24"/>
              </w:rPr>
            </w:pPr>
            <w:r w:rsidRPr="00021E21">
              <w:rPr>
                <w:rFonts w:ascii="Book Antiqua" w:hAnsi="Book Antiqua" w:cs="Arial"/>
                <w:bCs/>
                <w:szCs w:val="24"/>
                <w:lang w:val="pt-BR"/>
              </w:rPr>
              <w:t>Dr. Ricardo Marcelo N</w:t>
            </w:r>
            <w:r w:rsidR="003D0CEC">
              <w:rPr>
                <w:rFonts w:ascii="Book Antiqua" w:hAnsi="Book Antiqua" w:cs="Arial"/>
                <w:bCs/>
                <w:szCs w:val="24"/>
                <w:lang w:val="pt-BR"/>
              </w:rPr>
              <w:t>AIOUF</w:t>
            </w:r>
          </w:p>
        </w:tc>
        <w:tc>
          <w:tcPr>
            <w:tcW w:w="4252" w:type="dxa"/>
            <w:tcBorders>
              <w:top w:val="nil"/>
            </w:tcBorders>
          </w:tcPr>
          <w:p w:rsidR="003C1F4B" w:rsidRPr="00BF36E7" w:rsidRDefault="009C63B8" w:rsidP="00E80A4B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 w:rsidRPr="00BF36E7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Lic. Susana E</w:t>
            </w:r>
            <w:r w:rsidR="003C663E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SQUIVEL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3C1F4B" w:rsidRPr="000A4230" w:rsidRDefault="000A4230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0A4230">
              <w:rPr>
                <w:rFonts w:ascii="Book Antiqua" w:hAnsi="Book Antiqua" w:cs="Arial"/>
                <w:szCs w:val="24"/>
                <w:lang w:val="es-ES"/>
              </w:rPr>
              <w:t xml:space="preserve">Dr. </w:t>
            </w:r>
            <w:r w:rsidR="003D0CEC">
              <w:rPr>
                <w:rFonts w:ascii="Book Antiqua" w:hAnsi="Book Antiqua" w:cs="Arial"/>
                <w:szCs w:val="24"/>
                <w:lang w:val="es-ES"/>
              </w:rPr>
              <w:t>Alejandro Javier GARCIA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C1F4B" w:rsidRPr="009C63B8" w:rsidRDefault="003C1F4B" w:rsidP="00E80A4B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 w:rsidRPr="009C63B8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 xml:space="preserve">Dr. </w:t>
            </w:r>
            <w:r w:rsidR="003D0CEC" w:rsidRPr="009C63B8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Pablo Rubén FILLOTTRANI</w:t>
            </w:r>
          </w:p>
        </w:tc>
      </w:tr>
    </w:tbl>
    <w:p w:rsidR="000A4230" w:rsidRDefault="000A4230" w:rsidP="003F40A3">
      <w:pPr>
        <w:rPr>
          <w:rFonts w:ascii="Arial" w:hAnsi="Arial" w:cs="Arial"/>
          <w:b/>
          <w:lang w:val="es-ES"/>
        </w:rPr>
      </w:pPr>
    </w:p>
    <w:p w:rsidR="004815B3" w:rsidRDefault="00FE042E" w:rsidP="004815B3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CDCIC-0</w:t>
      </w:r>
      <w:r w:rsidR="004815B3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9/11</w:t>
      </w:r>
    </w:p>
    <w:p w:rsidR="004815B3" w:rsidRDefault="004815B3" w:rsidP="004815B3">
      <w:pPr>
        <w:rPr>
          <w:rFonts w:ascii="Arial" w:hAnsi="Arial" w:cs="Arial"/>
          <w:b/>
          <w:szCs w:val="24"/>
          <w:lang w:val="es-E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 se postule</w:t>
      </w:r>
      <w:r w:rsidR="007E567A">
        <w:rPr>
          <w:rFonts w:ascii="Arial" w:hAnsi="Arial" w:cs="Arial"/>
          <w:bCs/>
          <w:lang w:val="es-ES"/>
        </w:rPr>
        <w:t xml:space="preserve">, deberá presentar –en el momento de la inscripción- un </w:t>
      </w:r>
      <w:r w:rsidR="007E567A" w:rsidRPr="00996757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que el aspirante desarrollará en caso de obtener el cargo </w:t>
      </w:r>
      <w:r w:rsidR="007E567A">
        <w:rPr>
          <w:rFonts w:ascii="Arial" w:hAnsi="Arial" w:cs="Arial"/>
          <w:bCs/>
          <w:lang w:val="es-ES"/>
        </w:rPr>
        <w:t xml:space="preserve">y, en </w:t>
      </w:r>
      <w:r w:rsidR="00DA7813">
        <w:rPr>
          <w:rFonts w:ascii="Arial" w:hAnsi="Arial" w:cs="Arial"/>
          <w:bCs/>
          <w:lang w:val="es-ES"/>
        </w:rPr>
        <w:t>e</w:t>
      </w:r>
      <w:r w:rsidR="007E567A">
        <w:rPr>
          <w:rFonts w:ascii="Arial" w:hAnsi="Arial" w:cs="Arial"/>
          <w:bCs/>
          <w:lang w:val="es-ES"/>
        </w:rPr>
        <w:t>l caso de la</w:t>
      </w:r>
      <w:r w:rsidR="00DA7813">
        <w:rPr>
          <w:rFonts w:ascii="Arial" w:hAnsi="Arial" w:cs="Arial"/>
          <w:bCs/>
          <w:lang w:val="es-ES"/>
        </w:rPr>
        <w:t xml:space="preserve"> dedicación</w:t>
      </w:r>
      <w:r w:rsidR="007E567A">
        <w:rPr>
          <w:rFonts w:ascii="Arial" w:hAnsi="Arial" w:cs="Arial"/>
          <w:bCs/>
          <w:lang w:val="es-ES"/>
        </w:rPr>
        <w:t xml:space="preserve"> </w:t>
      </w:r>
      <w:proofErr w:type="spellStart"/>
      <w:r w:rsidR="00DA7813">
        <w:rPr>
          <w:rFonts w:ascii="Arial" w:hAnsi="Arial" w:cs="Arial"/>
          <w:bCs/>
          <w:lang w:val="es-ES"/>
        </w:rPr>
        <w:t>semi</w:t>
      </w:r>
      <w:r w:rsidR="007E567A">
        <w:rPr>
          <w:rFonts w:ascii="Arial" w:hAnsi="Arial" w:cs="Arial"/>
          <w:bCs/>
          <w:lang w:val="es-ES"/>
        </w:rPr>
        <w:t>exclusiva</w:t>
      </w:r>
      <w:proofErr w:type="spellEnd"/>
      <w:r w:rsidR="007E567A">
        <w:rPr>
          <w:rFonts w:ascii="Arial" w:hAnsi="Arial" w:cs="Arial"/>
          <w:bCs/>
          <w:lang w:val="es-ES"/>
        </w:rPr>
        <w:t xml:space="preserve">, </w:t>
      </w:r>
      <w:r w:rsidR="00996757">
        <w:rPr>
          <w:rFonts w:ascii="Arial" w:hAnsi="Arial" w:cs="Arial"/>
          <w:bCs/>
          <w:lang w:val="es-ES"/>
        </w:rPr>
        <w:t xml:space="preserve">un </w:t>
      </w:r>
      <w:r w:rsidR="00996757" w:rsidRPr="00996757">
        <w:rPr>
          <w:rFonts w:ascii="Arial" w:hAnsi="Arial" w:cs="Arial"/>
          <w:b/>
          <w:bCs/>
          <w:lang w:val="es-ES"/>
        </w:rPr>
        <w:t>plan</w:t>
      </w:r>
      <w:r w:rsidR="007E567A" w:rsidRPr="00996757">
        <w:rPr>
          <w:rFonts w:ascii="Arial" w:hAnsi="Arial" w:cs="Arial"/>
          <w:b/>
          <w:bCs/>
          <w:lang w:val="es-ES"/>
        </w:rPr>
        <w:t xml:space="preserve"> de investigación</w:t>
      </w:r>
      <w:r w:rsidR="007E567A">
        <w:rPr>
          <w:rFonts w:ascii="Arial" w:hAnsi="Arial" w:cs="Arial"/>
          <w:bCs/>
          <w:lang w:val="es-ES"/>
        </w:rPr>
        <w:t>.</w:t>
      </w:r>
      <w:r w:rsidR="00996757">
        <w:rPr>
          <w:rFonts w:ascii="Arial" w:hAnsi="Arial" w:cs="Arial"/>
          <w:bCs/>
          <w:lang w:val="es-ES"/>
        </w:rPr>
        <w:t>-</w:t>
      </w:r>
    </w:p>
    <w:p w:rsidR="00F8201E" w:rsidRDefault="00F8201E" w:rsidP="00F8201E">
      <w:pPr>
        <w:rPr>
          <w:rFonts w:ascii="Arial" w:hAnsi="Arial" w:cs="Arial"/>
          <w:b/>
          <w:szCs w:val="24"/>
          <w:lang w:val="es-ES"/>
        </w:rPr>
      </w:pPr>
    </w:p>
    <w:p w:rsidR="008D050A" w:rsidRDefault="000A70E9" w:rsidP="008D050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</w:t>
      </w:r>
      <w:r w:rsidR="00DA7813">
        <w:rPr>
          <w:rFonts w:ascii="Arial" w:hAnsi="Arial" w:cs="Arial"/>
          <w:szCs w:val="24"/>
          <w:lang w:val="es-ES"/>
        </w:rPr>
        <w:t xml:space="preserve"> que resulte</w:t>
      </w:r>
      <w:r>
        <w:rPr>
          <w:rFonts w:ascii="Arial" w:hAnsi="Arial" w:cs="Arial"/>
          <w:szCs w:val="24"/>
          <w:lang w:val="es-ES"/>
        </w:rPr>
        <w:t xml:space="preserve"> designado en </w:t>
      </w:r>
      <w:r w:rsidR="00DA7813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 xml:space="preserve">cargo de dedicación </w:t>
      </w:r>
      <w:proofErr w:type="spellStart"/>
      <w:r w:rsidR="00662D71">
        <w:rPr>
          <w:rFonts w:ascii="Arial" w:hAnsi="Arial" w:cs="Arial"/>
          <w:szCs w:val="24"/>
          <w:lang w:val="es-ES"/>
        </w:rPr>
        <w:t>sem</w:t>
      </w:r>
      <w:r w:rsidR="00222AA2">
        <w:rPr>
          <w:rFonts w:ascii="Arial" w:hAnsi="Arial" w:cs="Arial"/>
          <w:szCs w:val="24"/>
          <w:lang w:val="es-ES"/>
        </w:rPr>
        <w:t>i</w:t>
      </w:r>
      <w:r w:rsidR="00DA7813">
        <w:rPr>
          <w:rFonts w:ascii="Arial" w:hAnsi="Arial" w:cs="Arial"/>
          <w:szCs w:val="24"/>
          <w:lang w:val="es-ES"/>
        </w:rPr>
        <w:t>exclusiva</w:t>
      </w:r>
      <w:proofErr w:type="spellEnd"/>
      <w:r w:rsidR="00DA7813">
        <w:rPr>
          <w:rFonts w:ascii="Arial" w:hAnsi="Arial" w:cs="Arial"/>
          <w:szCs w:val="24"/>
          <w:lang w:val="es-ES"/>
        </w:rPr>
        <w:t xml:space="preserve"> deberá</w:t>
      </w:r>
      <w:r>
        <w:rPr>
          <w:rFonts w:ascii="Arial" w:hAnsi="Arial" w:cs="Arial"/>
          <w:szCs w:val="24"/>
          <w:lang w:val="es-ES"/>
        </w:rPr>
        <w:t xml:space="preserve"> dictar dos asignaturas, como mínimo, por año; en primer </w:t>
      </w:r>
      <w:r w:rsidR="008D050A">
        <w:rPr>
          <w:rFonts w:ascii="Arial" w:hAnsi="Arial" w:cs="Arial"/>
          <w:szCs w:val="24"/>
          <w:lang w:val="es-ES"/>
        </w:rPr>
        <w:t>término y prioritariamente, en la asignatura concursada; de no s</w:t>
      </w:r>
      <w:r w:rsidR="00DA7813">
        <w:rPr>
          <w:rFonts w:ascii="Arial" w:hAnsi="Arial" w:cs="Arial"/>
          <w:szCs w:val="24"/>
          <w:lang w:val="es-ES"/>
        </w:rPr>
        <w:t>er esto posible, se le</w:t>
      </w:r>
      <w:r w:rsidR="008D050A">
        <w:rPr>
          <w:rFonts w:ascii="Arial" w:hAnsi="Arial" w:cs="Arial"/>
          <w:szCs w:val="24"/>
          <w:lang w:val="es-ES"/>
        </w:rPr>
        <w:t xml:space="preserve"> asignará funciones en otras asignaturas del área afines a la del concurso o asignaturas básicas del Departamento de Ciencias e Ingeniería de la Computación, según las necesidades de cada cuatrimestre.-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662D71" w:rsidRPr="008C5495" w:rsidRDefault="00662D71" w:rsidP="00662D71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662D71" w:rsidRDefault="00662D71" w:rsidP="00662D71">
      <w:pPr>
        <w:rPr>
          <w:rFonts w:ascii="Arial" w:hAnsi="Arial" w:cs="Arial"/>
          <w:lang w:val="es-ES"/>
        </w:rPr>
      </w:pPr>
    </w:p>
    <w:p w:rsidR="00662D71" w:rsidRPr="008C5495" w:rsidRDefault="00662D71" w:rsidP="00662D71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7º).-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Pr="008C5495">
        <w:rPr>
          <w:rFonts w:ascii="Arial" w:hAnsi="Arial" w:cs="Arial"/>
          <w:lang w:val="es-ES"/>
        </w:rPr>
        <w:t>Expte</w:t>
      </w:r>
      <w:proofErr w:type="spellEnd"/>
      <w:r w:rsidRPr="008C5495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DCIC-</w:t>
      </w:r>
      <w:r w:rsidR="00B30B48">
        <w:rPr>
          <w:rFonts w:ascii="Arial" w:hAnsi="Arial" w:cs="Arial"/>
          <w:lang w:val="es-ES"/>
        </w:rPr>
        <w:t>1624</w:t>
      </w:r>
      <w:r>
        <w:rPr>
          <w:rFonts w:ascii="Arial" w:hAnsi="Arial" w:cs="Arial"/>
          <w:lang w:val="es-ES"/>
        </w:rPr>
        <w:t>/10</w:t>
      </w:r>
      <w:r w:rsidRPr="008C5495">
        <w:rPr>
          <w:rFonts w:ascii="Arial" w:hAnsi="Arial" w:cs="Arial"/>
          <w:lang w:val="es-ES"/>
        </w:rPr>
        <w:t xml:space="preserve">, </w:t>
      </w:r>
      <w:proofErr w:type="spellStart"/>
      <w:r w:rsidRPr="008C5495">
        <w:rPr>
          <w:rFonts w:ascii="Arial" w:hAnsi="Arial" w:cs="Arial"/>
          <w:lang w:val="es-ES"/>
        </w:rPr>
        <w:t>dése</w:t>
      </w:r>
      <w:proofErr w:type="spellEnd"/>
      <w:r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</w:t>
      </w:r>
      <w:r w:rsidR="005D22AD">
        <w:rPr>
          <w:rFonts w:ascii="Arial" w:hAnsi="Arial" w:cs="Arial"/>
          <w:lang w:val="es-ES"/>
        </w:rPr>
        <w:t>vuelva al Departamento de Ciencias e Ingeniería de la Computación</w:t>
      </w:r>
      <w:r w:rsidRPr="008C5495">
        <w:rPr>
          <w:rFonts w:ascii="Arial" w:hAnsi="Arial" w:cs="Arial"/>
          <w:lang w:val="es-ES"/>
        </w:rPr>
        <w:t>.----------------</w:t>
      </w:r>
      <w:r w:rsidR="005D22AD">
        <w:rPr>
          <w:rFonts w:ascii="Arial" w:hAnsi="Arial" w:cs="Arial"/>
          <w:lang w:val="es-ES"/>
        </w:rPr>
        <w:t>-----------------------</w:t>
      </w:r>
    </w:p>
    <w:p w:rsidR="00662D71" w:rsidRDefault="00662D71" w:rsidP="00662D71">
      <w:pPr>
        <w:rPr>
          <w:rFonts w:ascii="Arial" w:hAnsi="Arial" w:cs="Arial"/>
          <w:szCs w:val="24"/>
          <w:lang w:val="es-ES"/>
        </w:rPr>
      </w:pPr>
    </w:p>
    <w:p w:rsidR="000A70E9" w:rsidRDefault="000A70E9" w:rsidP="00662D71">
      <w:pPr>
        <w:rPr>
          <w:lang w:val="es-ES"/>
        </w:rPr>
      </w:pP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21E21"/>
    <w:rsid w:val="0005083F"/>
    <w:rsid w:val="000A4230"/>
    <w:rsid w:val="000A70E9"/>
    <w:rsid w:val="00137940"/>
    <w:rsid w:val="00141C3D"/>
    <w:rsid w:val="00222AA2"/>
    <w:rsid w:val="0025498B"/>
    <w:rsid w:val="002D25B8"/>
    <w:rsid w:val="003C1F4B"/>
    <w:rsid w:val="003C663E"/>
    <w:rsid w:val="003D0CEC"/>
    <w:rsid w:val="003F40A3"/>
    <w:rsid w:val="00414453"/>
    <w:rsid w:val="00445D0D"/>
    <w:rsid w:val="00455D4B"/>
    <w:rsid w:val="00466DA3"/>
    <w:rsid w:val="004815B3"/>
    <w:rsid w:val="004E54E4"/>
    <w:rsid w:val="00562EF7"/>
    <w:rsid w:val="005701F8"/>
    <w:rsid w:val="005D22AD"/>
    <w:rsid w:val="00662D71"/>
    <w:rsid w:val="00667ACC"/>
    <w:rsid w:val="006827E4"/>
    <w:rsid w:val="007409F1"/>
    <w:rsid w:val="007E567A"/>
    <w:rsid w:val="007F4E7A"/>
    <w:rsid w:val="008D050A"/>
    <w:rsid w:val="008E2F4D"/>
    <w:rsid w:val="0091028C"/>
    <w:rsid w:val="00955D4D"/>
    <w:rsid w:val="00996757"/>
    <w:rsid w:val="009C63B8"/>
    <w:rsid w:val="009F07D3"/>
    <w:rsid w:val="00A315D8"/>
    <w:rsid w:val="00A85EBC"/>
    <w:rsid w:val="00AD5427"/>
    <w:rsid w:val="00B00A45"/>
    <w:rsid w:val="00B047EA"/>
    <w:rsid w:val="00B2336C"/>
    <w:rsid w:val="00B30B48"/>
    <w:rsid w:val="00BF36E7"/>
    <w:rsid w:val="00C526B4"/>
    <w:rsid w:val="00CD6950"/>
    <w:rsid w:val="00CF05DB"/>
    <w:rsid w:val="00D235F0"/>
    <w:rsid w:val="00D402DE"/>
    <w:rsid w:val="00D6525B"/>
    <w:rsid w:val="00DA2496"/>
    <w:rsid w:val="00DA7813"/>
    <w:rsid w:val="00DB1BE9"/>
    <w:rsid w:val="00E53FD8"/>
    <w:rsid w:val="00E63D4E"/>
    <w:rsid w:val="00E80A4B"/>
    <w:rsid w:val="00EC6652"/>
    <w:rsid w:val="00F53A65"/>
    <w:rsid w:val="00F8201E"/>
    <w:rsid w:val="00FE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2025-07-06T16:53:00Z</dcterms:created>
  <dcterms:modified xsi:type="dcterms:W3CDTF">2025-07-06T16:53:00Z</dcterms:modified>
</cp:coreProperties>
</file>