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665B4D">
        <w:rPr>
          <w:b/>
          <w:sz w:val="24"/>
          <w:lang w:val="es-AR"/>
        </w:rPr>
        <w:t>166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BAHIA BLANCA,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VISTO: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sz w:val="24"/>
          <w:szCs w:val="20"/>
        </w:rPr>
        <w:t xml:space="preserve">          </w:t>
      </w:r>
    </w:p>
    <w:p w:rsidR="00364F94" w:rsidRPr="00364F94" w:rsidRDefault="00364F94" w:rsidP="00364F94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364F94">
        <w:rPr>
          <w:rFonts w:cs="Times New Roman"/>
          <w:sz w:val="24"/>
          <w:szCs w:val="20"/>
          <w:lang w:val="es-AR"/>
        </w:rPr>
        <w:t>La XVI Escuela Internacional de Informática (EII) que se desarrollará entre el 8 y el 12 de octubre de 2012 en el marco del XVIII Congreso Argentino de Ciencias de la Computación (CACIC 2012) en nuestra ciudad;</w:t>
      </w:r>
    </w:p>
    <w:p w:rsidR="00364F94" w:rsidRPr="00364F94" w:rsidRDefault="00364F94" w:rsidP="00364F94">
      <w:pPr>
        <w:autoSpaceDE/>
        <w:autoSpaceDN/>
        <w:ind w:firstLine="851"/>
        <w:jc w:val="both"/>
        <w:rPr>
          <w:rFonts w:cs="Times New Roman"/>
          <w:sz w:val="24"/>
          <w:szCs w:val="20"/>
        </w:rPr>
      </w:pPr>
    </w:p>
    <w:p w:rsidR="00364F94" w:rsidRPr="00364F94" w:rsidRDefault="00364F94" w:rsidP="00364F94">
      <w:pPr>
        <w:autoSpaceDE/>
        <w:autoSpaceDN/>
        <w:ind w:firstLine="851"/>
        <w:jc w:val="both"/>
        <w:rPr>
          <w:rFonts w:cs="Times New Roman"/>
          <w:sz w:val="24"/>
          <w:szCs w:val="20"/>
        </w:rPr>
      </w:pPr>
      <w:r w:rsidRPr="00364F94">
        <w:rPr>
          <w:rFonts w:cs="Times New Roman"/>
          <w:sz w:val="24"/>
          <w:szCs w:val="20"/>
        </w:rPr>
        <w:t>Lo Resolución R-466/86 mediante la cual se delega a las autoridades de los Departamentos Académicos la facultad de declarar “Huespedes Oficiales” a las personalidades que nos visiten; y</w:t>
      </w:r>
    </w:p>
    <w:p w:rsidR="005018D8" w:rsidRDefault="005018D8" w:rsidP="00364F94">
      <w:pPr>
        <w:autoSpaceDE/>
        <w:autoSpaceDN/>
        <w:ind w:firstLine="851"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CONSIDERANDO:</w:t>
      </w:r>
      <w:r w:rsidRPr="005018D8">
        <w:rPr>
          <w:rFonts w:cs="Times New Roman"/>
          <w:sz w:val="24"/>
          <w:szCs w:val="20"/>
        </w:rPr>
        <w:t xml:space="preserve">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364F94" w:rsidRPr="005018D8" w:rsidRDefault="00364F94" w:rsidP="00364F94">
      <w:pPr>
        <w:autoSpaceDE/>
        <w:autoSpaceDN/>
        <w:spacing w:after="200" w:line="276" w:lineRule="auto"/>
        <w:ind w:firstLine="851"/>
        <w:jc w:val="both"/>
        <w:rPr>
          <w:rFonts w:eastAsia="Calibri"/>
          <w:sz w:val="24"/>
          <w:lang w:val="es-AR"/>
        </w:rPr>
      </w:pPr>
      <w:r>
        <w:rPr>
          <w:rFonts w:eastAsia="Calibri"/>
          <w:sz w:val="24"/>
          <w:lang w:val="es-AR"/>
        </w:rPr>
        <w:t>Que la EII</w:t>
      </w:r>
      <w:r w:rsidRPr="005018D8">
        <w:rPr>
          <w:rFonts w:eastAsia="Calibri"/>
          <w:sz w:val="24"/>
          <w:lang w:val="es-AR"/>
        </w:rPr>
        <w:t xml:space="preserve"> tiene como objetivo el dictado de cursos para alumnos avanzados de las universidades integrantes de la Red de Universidades con Carreras de Informática (REDUnci), alumnos de otras instituciones de grado y postgrado como así también profesionales del medio;</w:t>
      </w:r>
    </w:p>
    <w:p w:rsidR="005018D8" w:rsidRDefault="005018D8" w:rsidP="008315D5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sz w:val="24"/>
          <w:szCs w:val="20"/>
          <w:lang w:val="es-AR"/>
        </w:rPr>
        <w:t xml:space="preserve">Que la EII 2012 ofrecerá cinco cursos no arancelados, entre los cuales se ha incluido el curso </w:t>
      </w:r>
      <w:r w:rsidR="008315D5">
        <w:rPr>
          <w:rFonts w:cs="Times New Roman"/>
          <w:i/>
          <w:sz w:val="24"/>
          <w:szCs w:val="20"/>
          <w:lang w:val="es-AR"/>
        </w:rPr>
        <w:t>Centro de Cómputos: tecnologías e implementaciones en sistemas de tipo UNIX</w:t>
      </w:r>
      <w:r w:rsidRPr="005018D8">
        <w:rPr>
          <w:rFonts w:cs="Times New Roman"/>
          <w:sz w:val="24"/>
          <w:szCs w:val="20"/>
          <w:lang w:val="es-AR"/>
        </w:rPr>
        <w:t xml:space="preserve">, a cargo </w:t>
      </w:r>
      <w:r w:rsidR="008315D5">
        <w:rPr>
          <w:rFonts w:cs="Times New Roman"/>
          <w:sz w:val="24"/>
          <w:szCs w:val="20"/>
          <w:lang w:val="es-AR"/>
        </w:rPr>
        <w:t xml:space="preserve">de la Ing. Mirian Lechner; </w:t>
      </w:r>
    </w:p>
    <w:p w:rsidR="005018D8" w:rsidRPr="005018D8" w:rsidRDefault="005018D8" w:rsidP="005018D8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</w:p>
    <w:p w:rsidR="00E830FD" w:rsidRPr="00E830FD" w:rsidRDefault="005018D8" w:rsidP="00E830FD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  <w:r>
        <w:rPr>
          <w:rFonts w:cs="Times New Roman"/>
          <w:sz w:val="24"/>
          <w:szCs w:val="20"/>
        </w:rPr>
        <w:tab/>
      </w:r>
      <w:r w:rsidR="00E830FD" w:rsidRPr="00E830FD">
        <w:rPr>
          <w:rFonts w:cs="Times New Roman"/>
          <w:sz w:val="24"/>
          <w:szCs w:val="20"/>
          <w:lang w:val="es-AR"/>
        </w:rPr>
        <w:t xml:space="preserve">Que la Ing. Lechner es docente de la Universidad Nacional del Comahue </w:t>
      </w:r>
      <w:r w:rsidR="00E830FD" w:rsidRPr="00E830FD">
        <w:rPr>
          <w:rFonts w:cs="Times New Roman"/>
          <w:sz w:val="24"/>
          <w:szCs w:val="20"/>
          <w:lang w:val="es-ES"/>
        </w:rPr>
        <w:t xml:space="preserve">en la cátedra Arquitectura y Seguridad de Computadoras, cumple funciones de Administradora de Sistemas en </w:t>
      </w:r>
      <w:hyperlink r:id="rId5" w:history="1">
        <w:r w:rsidR="00E830FD" w:rsidRPr="00E830FD">
          <w:rPr>
            <w:rStyle w:val="Hipervnculo"/>
            <w:rFonts w:cs="Times New Roman"/>
            <w:color w:val="auto"/>
            <w:sz w:val="24"/>
            <w:szCs w:val="20"/>
            <w:u w:val="none"/>
            <w:lang w:val="es-AR"/>
          </w:rPr>
          <w:t>HP Enterprise Services</w:t>
        </w:r>
      </w:hyperlink>
      <w:r w:rsidR="00CC3E80">
        <w:rPr>
          <w:rFonts w:cs="Times New Roman"/>
          <w:sz w:val="24"/>
          <w:szCs w:val="20"/>
          <w:lang w:val="es-ES"/>
        </w:rPr>
        <w:t xml:space="preserve"> </w:t>
      </w:r>
      <w:r w:rsidR="00E830FD" w:rsidRPr="00E830FD">
        <w:rPr>
          <w:rFonts w:cs="Times New Roman"/>
          <w:sz w:val="24"/>
          <w:szCs w:val="20"/>
          <w:lang w:val="es-ES"/>
        </w:rPr>
        <w:t xml:space="preserve">y es Especialista en Infraestructura en </w:t>
      </w:r>
      <w:hyperlink r:id="rId6" w:history="1">
        <w:r w:rsidR="00E830FD" w:rsidRPr="00E830FD">
          <w:rPr>
            <w:rStyle w:val="Hipervnculo"/>
            <w:rFonts w:cs="Times New Roman"/>
            <w:color w:val="auto"/>
            <w:sz w:val="24"/>
            <w:szCs w:val="20"/>
            <w:u w:val="none"/>
            <w:lang w:val="es-ES"/>
          </w:rPr>
          <w:t>Hewlett Packard</w:t>
        </w:r>
      </w:hyperlink>
      <w:r w:rsidR="00E830FD" w:rsidRPr="00E830FD">
        <w:rPr>
          <w:rFonts w:cs="Times New Roman"/>
          <w:sz w:val="24"/>
          <w:szCs w:val="20"/>
          <w:lang w:val="es-ES"/>
        </w:rPr>
        <w:t>;</w:t>
      </w:r>
    </w:p>
    <w:p w:rsidR="00E830FD" w:rsidRPr="00E830FD" w:rsidRDefault="00E830FD" w:rsidP="00E830FD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  <w:r w:rsidRPr="00E830FD">
        <w:rPr>
          <w:rFonts w:cs="Times New Roman"/>
          <w:sz w:val="24"/>
          <w:szCs w:val="20"/>
          <w:lang w:val="es-AR"/>
        </w:rPr>
        <w:t> </w:t>
      </w:r>
    </w:p>
    <w:p w:rsidR="00E830FD" w:rsidRPr="00E830FD" w:rsidRDefault="00E830FD" w:rsidP="00E830FD">
      <w:pPr>
        <w:autoSpaceDE/>
        <w:autoSpaceDN/>
        <w:ind w:firstLine="709"/>
        <w:jc w:val="both"/>
        <w:rPr>
          <w:rFonts w:cs="Times New Roman"/>
          <w:sz w:val="24"/>
          <w:szCs w:val="20"/>
          <w:lang w:val="es-AR"/>
        </w:rPr>
      </w:pPr>
      <w:r w:rsidRPr="00E830FD">
        <w:rPr>
          <w:rFonts w:cs="Times New Roman"/>
          <w:sz w:val="24"/>
          <w:szCs w:val="20"/>
          <w:lang w:val="es-AR"/>
        </w:rPr>
        <w:t xml:space="preserve">Que los miembros del Consejo Departamental  coinciden en la relevancia que los contenidos del mencionado curso tienen para los alumnos avanzados de las carreras de Ciencias de la Computación y el valioso aporte que brinda el contar con un docente con una extensa experiencia como Administradora del Sistema Unix en empresas como </w:t>
      </w:r>
      <w:hyperlink r:id="rId7" w:history="1">
        <w:r w:rsidRPr="00E830FD">
          <w:rPr>
            <w:rStyle w:val="Hipervnculo"/>
            <w:rFonts w:cs="Times New Roman"/>
            <w:color w:val="auto"/>
            <w:sz w:val="24"/>
            <w:szCs w:val="20"/>
            <w:u w:val="none"/>
            <w:lang w:val="es-ES"/>
          </w:rPr>
          <w:t>Schlumberger</w:t>
        </w:r>
      </w:hyperlink>
      <w:r w:rsidRPr="00E830FD">
        <w:rPr>
          <w:rFonts w:cs="Times New Roman"/>
          <w:sz w:val="24"/>
          <w:szCs w:val="20"/>
          <w:lang w:val="es-ES"/>
        </w:rPr>
        <w:t xml:space="preserve"> y </w:t>
      </w:r>
      <w:hyperlink r:id="rId8" w:history="1">
        <w:r w:rsidRPr="00E830FD">
          <w:rPr>
            <w:rStyle w:val="Hipervnculo"/>
            <w:rFonts w:cs="Times New Roman"/>
            <w:color w:val="auto"/>
            <w:sz w:val="24"/>
            <w:szCs w:val="20"/>
            <w:u w:val="none"/>
            <w:lang w:val="es-AR"/>
          </w:rPr>
          <w:t>USRLAM S.A.</w:t>
        </w:r>
      </w:hyperlink>
      <w:r>
        <w:rPr>
          <w:rFonts w:cs="Times New Roman"/>
          <w:sz w:val="24"/>
          <w:szCs w:val="20"/>
        </w:rPr>
        <w:t>;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POR  ELLO;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ind w:firstLine="1474"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El Consejo Departamental de Ciencias de</w:t>
      </w:r>
      <w:r>
        <w:rPr>
          <w:rFonts w:cs="Times New Roman"/>
          <w:b/>
          <w:sz w:val="24"/>
          <w:szCs w:val="20"/>
        </w:rPr>
        <w:t xml:space="preserve"> la Computación en </w:t>
      </w:r>
      <w:r w:rsidR="00CC3E80">
        <w:rPr>
          <w:rFonts w:cs="Times New Roman"/>
          <w:b/>
          <w:sz w:val="24"/>
          <w:szCs w:val="20"/>
        </w:rPr>
        <w:t>su reunión ordinaria de fecha 12</w:t>
      </w:r>
      <w:r w:rsidRPr="005018D8">
        <w:rPr>
          <w:rFonts w:cs="Times New Roman"/>
          <w:b/>
          <w:sz w:val="24"/>
          <w:szCs w:val="20"/>
        </w:rPr>
        <w:t xml:space="preserve"> de </w:t>
      </w:r>
      <w:r w:rsidR="00CC3E80">
        <w:rPr>
          <w:rFonts w:cs="Times New Roman"/>
          <w:b/>
          <w:sz w:val="24"/>
          <w:szCs w:val="20"/>
        </w:rPr>
        <w:t>septiembre</w:t>
      </w:r>
      <w:r w:rsidRPr="005018D8">
        <w:rPr>
          <w:rFonts w:cs="Times New Roman"/>
          <w:b/>
          <w:sz w:val="24"/>
          <w:szCs w:val="20"/>
        </w:rPr>
        <w:t xml:space="preserve"> de </w:t>
      </w:r>
      <w:r>
        <w:rPr>
          <w:rFonts w:cs="Times New Roman"/>
          <w:b/>
          <w:sz w:val="24"/>
          <w:szCs w:val="20"/>
        </w:rPr>
        <w:t>2012</w:t>
      </w:r>
      <w:r w:rsidR="00F032B0">
        <w:rPr>
          <w:rFonts w:cs="Times New Roman"/>
          <w:b/>
          <w:sz w:val="24"/>
          <w:szCs w:val="20"/>
        </w:rPr>
        <w:t xml:space="preserve"> por unanimidad</w:t>
      </w:r>
    </w:p>
    <w:p w:rsidR="005018D8" w:rsidRPr="005018D8" w:rsidRDefault="005018D8" w:rsidP="005018D8">
      <w:pPr>
        <w:autoSpaceDE/>
        <w:autoSpaceDN/>
        <w:ind w:left="1474" w:firstLine="567"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center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R  E S U E L V E :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              </w:t>
      </w:r>
    </w:p>
    <w:p w:rsidR="00364F94" w:rsidRDefault="005018D8" w:rsidP="00E830FD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Art. 1</w:t>
      </w:r>
      <w:r w:rsidRPr="005018D8">
        <w:rPr>
          <w:rFonts w:cs="Times New Roman"/>
          <w:b/>
          <w:sz w:val="24"/>
          <w:szCs w:val="20"/>
        </w:rPr>
        <w:sym w:font="Symbol" w:char="F0B0"/>
      </w:r>
      <w:r w:rsidRPr="005018D8">
        <w:rPr>
          <w:rFonts w:cs="Times New Roman"/>
          <w:b/>
          <w:sz w:val="24"/>
          <w:szCs w:val="20"/>
        </w:rPr>
        <w:t>).-</w:t>
      </w:r>
      <w:r w:rsidRPr="005018D8">
        <w:rPr>
          <w:rFonts w:cs="Times New Roman"/>
          <w:sz w:val="24"/>
          <w:szCs w:val="20"/>
        </w:rPr>
        <w:t xml:space="preserve"> </w:t>
      </w:r>
      <w:r w:rsidR="00364F94" w:rsidRPr="005018D8">
        <w:rPr>
          <w:rFonts w:cs="Times New Roman"/>
          <w:sz w:val="24"/>
          <w:szCs w:val="20"/>
        </w:rPr>
        <w:t>Declarar</w:t>
      </w:r>
      <w:r w:rsidR="00364F94" w:rsidRPr="005018D8">
        <w:rPr>
          <w:rFonts w:cs="Times New Roman"/>
          <w:i/>
          <w:sz w:val="24"/>
          <w:szCs w:val="20"/>
        </w:rPr>
        <w:t xml:space="preserve"> </w:t>
      </w:r>
      <w:r w:rsidR="00364F94" w:rsidRPr="005018D8">
        <w:rPr>
          <w:rFonts w:ascii="Bodiac" w:hAnsi="Bodiac" w:cs="Times New Roman"/>
          <w:i/>
          <w:sz w:val="28"/>
          <w:szCs w:val="20"/>
        </w:rPr>
        <w:t>Huésped Oficial</w:t>
      </w:r>
      <w:r w:rsidR="00364F94" w:rsidRPr="005018D8">
        <w:rPr>
          <w:rFonts w:cs="Times New Roman"/>
          <w:sz w:val="24"/>
          <w:szCs w:val="20"/>
        </w:rPr>
        <w:t xml:space="preserve"> del Departamento de Ciencias </w:t>
      </w:r>
      <w:r w:rsidR="00364F94">
        <w:rPr>
          <w:rFonts w:cs="Times New Roman"/>
          <w:sz w:val="24"/>
          <w:szCs w:val="20"/>
        </w:rPr>
        <w:t xml:space="preserve">e Ingeniería </w:t>
      </w:r>
      <w:r w:rsidR="00364F94" w:rsidRPr="005018D8">
        <w:rPr>
          <w:rFonts w:cs="Times New Roman"/>
          <w:sz w:val="24"/>
          <w:szCs w:val="20"/>
        </w:rPr>
        <w:t xml:space="preserve">de la Computación </w:t>
      </w:r>
      <w:r w:rsidR="00364F94">
        <w:rPr>
          <w:rFonts w:cs="Times New Roman"/>
          <w:sz w:val="24"/>
          <w:szCs w:val="20"/>
        </w:rPr>
        <w:t xml:space="preserve"> </w:t>
      </w:r>
      <w:r w:rsidR="00364F94" w:rsidRPr="005018D8">
        <w:rPr>
          <w:rFonts w:cs="Times New Roman"/>
          <w:sz w:val="24"/>
          <w:szCs w:val="20"/>
        </w:rPr>
        <w:t xml:space="preserve">de </w:t>
      </w:r>
      <w:r w:rsidR="00364F94">
        <w:rPr>
          <w:rFonts w:cs="Times New Roman"/>
          <w:sz w:val="24"/>
          <w:szCs w:val="20"/>
        </w:rPr>
        <w:t xml:space="preserve"> </w:t>
      </w:r>
      <w:r w:rsidR="00364F94" w:rsidRPr="005018D8">
        <w:rPr>
          <w:rFonts w:cs="Times New Roman"/>
          <w:sz w:val="24"/>
          <w:szCs w:val="20"/>
        </w:rPr>
        <w:t xml:space="preserve">la Universidad </w:t>
      </w:r>
      <w:r w:rsidR="00364F94">
        <w:rPr>
          <w:rFonts w:cs="Times New Roman"/>
          <w:sz w:val="24"/>
          <w:szCs w:val="20"/>
        </w:rPr>
        <w:t xml:space="preserve"> </w:t>
      </w:r>
      <w:r w:rsidR="00364F94" w:rsidRPr="005018D8">
        <w:rPr>
          <w:rFonts w:cs="Times New Roman"/>
          <w:sz w:val="24"/>
          <w:szCs w:val="20"/>
        </w:rPr>
        <w:t xml:space="preserve">Nacional </w:t>
      </w:r>
      <w:r w:rsidR="00364F94">
        <w:rPr>
          <w:rFonts w:cs="Times New Roman"/>
          <w:sz w:val="24"/>
          <w:szCs w:val="20"/>
        </w:rPr>
        <w:t xml:space="preserve"> </w:t>
      </w:r>
      <w:r w:rsidR="00364F94" w:rsidRPr="005018D8">
        <w:rPr>
          <w:rFonts w:cs="Times New Roman"/>
          <w:sz w:val="24"/>
          <w:szCs w:val="20"/>
        </w:rPr>
        <w:t xml:space="preserve">del </w:t>
      </w:r>
      <w:r w:rsidR="00364F94">
        <w:rPr>
          <w:rFonts w:cs="Times New Roman"/>
          <w:sz w:val="24"/>
          <w:szCs w:val="20"/>
        </w:rPr>
        <w:t xml:space="preserve"> </w:t>
      </w:r>
      <w:r w:rsidR="00364F94" w:rsidRPr="005018D8">
        <w:rPr>
          <w:rFonts w:cs="Times New Roman"/>
          <w:sz w:val="24"/>
          <w:szCs w:val="20"/>
        </w:rPr>
        <w:t>Sur</w:t>
      </w:r>
      <w:r w:rsidR="00F032B0">
        <w:rPr>
          <w:rFonts w:ascii="Bodiac" w:hAnsi="Bodiac" w:cs="Times New Roman"/>
          <w:i/>
          <w:sz w:val="28"/>
          <w:szCs w:val="20"/>
        </w:rPr>
        <w:t xml:space="preserve"> </w:t>
      </w:r>
      <w:r w:rsidR="00F032B0">
        <w:rPr>
          <w:rFonts w:cs="Times New Roman"/>
          <w:sz w:val="24"/>
          <w:szCs w:val="20"/>
        </w:rPr>
        <w:t xml:space="preserve">a la Ing. Mirian Lechner, </w:t>
      </w:r>
      <w:r w:rsidR="00364F94" w:rsidRPr="005018D8">
        <w:rPr>
          <w:rFonts w:cs="Times New Roman"/>
          <w:sz w:val="24"/>
          <w:szCs w:val="20"/>
        </w:rPr>
        <w:t xml:space="preserve">con motivo de dictar </w:t>
      </w:r>
      <w:r w:rsidR="00364F94">
        <w:rPr>
          <w:rFonts w:cs="Times New Roman"/>
          <w:sz w:val="24"/>
          <w:szCs w:val="20"/>
        </w:rPr>
        <w:t>el curso “</w:t>
      </w:r>
      <w:r w:rsidR="00364F94" w:rsidRPr="00F032B0">
        <w:rPr>
          <w:rFonts w:cs="Times New Roman"/>
          <w:i/>
          <w:sz w:val="24"/>
          <w:szCs w:val="20"/>
          <w:lang w:val="es-AR"/>
        </w:rPr>
        <w:t>Centro de Cómputos: tecnologías e implementaciones en sistemas de tipo UNIX</w:t>
      </w:r>
      <w:r w:rsidR="00665B4D">
        <w:rPr>
          <w:rFonts w:cs="Times New Roman"/>
          <w:sz w:val="24"/>
          <w:szCs w:val="20"/>
        </w:rPr>
        <w:t xml:space="preserve">” </w:t>
      </w:r>
      <w:r w:rsidR="00364F94" w:rsidRPr="00334C72">
        <w:rPr>
          <w:rFonts w:cs="Times New Roman"/>
          <w:sz w:val="24"/>
          <w:szCs w:val="20"/>
        </w:rPr>
        <w:t xml:space="preserve">en la XVI Escuela </w:t>
      </w:r>
      <w:r w:rsidR="00364F94">
        <w:rPr>
          <w:rFonts w:cs="Times New Roman"/>
          <w:sz w:val="24"/>
          <w:szCs w:val="20"/>
        </w:rPr>
        <w:t xml:space="preserve">Internacional </w:t>
      </w:r>
      <w:r w:rsidR="00364F94" w:rsidRPr="00334C72">
        <w:rPr>
          <w:rFonts w:cs="Times New Roman"/>
          <w:sz w:val="24"/>
          <w:szCs w:val="20"/>
        </w:rPr>
        <w:t xml:space="preserve">de Informática </w:t>
      </w:r>
      <w:r w:rsidR="00364F94" w:rsidRPr="00334C72">
        <w:rPr>
          <w:rFonts w:cs="Times New Roman"/>
          <w:sz w:val="24"/>
          <w:szCs w:val="20"/>
          <w:lang w:val="es-AR"/>
        </w:rPr>
        <w:t>que se desarrollará entre el 8 y el 12 de octubre de 2012 en el marco del XVIII Congreso Argentino de Ciencias de la Computación</w:t>
      </w:r>
      <w:r w:rsidR="00364F94">
        <w:rPr>
          <w:rFonts w:cs="Times New Roman"/>
          <w:sz w:val="24"/>
          <w:szCs w:val="20"/>
          <w:lang w:val="es-AR"/>
        </w:rPr>
        <w:t xml:space="preserve"> (CACIC 2012) .-</w:t>
      </w:r>
    </w:p>
    <w:p w:rsidR="00665B4D" w:rsidRDefault="00665B4D" w:rsidP="00E830FD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E830FD" w:rsidRDefault="00364F94" w:rsidP="00E830FD">
      <w:pPr>
        <w:autoSpaceDE/>
        <w:autoSpaceDN/>
        <w:jc w:val="both"/>
        <w:rPr>
          <w:rFonts w:cs="Times New Roman"/>
          <w:b/>
          <w:sz w:val="24"/>
          <w:szCs w:val="20"/>
        </w:rPr>
      </w:pPr>
      <w:r>
        <w:rPr>
          <w:rFonts w:cs="Times New Roman"/>
          <w:b/>
          <w:sz w:val="24"/>
          <w:szCs w:val="20"/>
        </w:rPr>
        <w:lastRenderedPageBreak/>
        <w:t>///CDCIC-166</w:t>
      </w:r>
      <w:r w:rsidR="00E830FD">
        <w:rPr>
          <w:rFonts w:cs="Times New Roman"/>
          <w:b/>
          <w:sz w:val="24"/>
          <w:szCs w:val="20"/>
        </w:rPr>
        <w:t>/12</w:t>
      </w:r>
    </w:p>
    <w:p w:rsidR="00E830FD" w:rsidRDefault="00E830FD" w:rsidP="00E830FD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Default="005018D8" w:rsidP="00074E14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Art. 2</w:t>
      </w:r>
      <w:r w:rsidRPr="005018D8">
        <w:rPr>
          <w:rFonts w:cs="Times New Roman"/>
          <w:b/>
          <w:sz w:val="24"/>
          <w:szCs w:val="20"/>
        </w:rPr>
        <w:sym w:font="Symbol" w:char="F0B0"/>
      </w:r>
      <w:r w:rsidRPr="005018D8">
        <w:rPr>
          <w:rFonts w:cs="Times New Roman"/>
          <w:b/>
          <w:sz w:val="24"/>
          <w:szCs w:val="20"/>
        </w:rPr>
        <w:t>).-</w:t>
      </w:r>
      <w:r w:rsidRPr="005018D8">
        <w:rPr>
          <w:rFonts w:cs="Times New Roman"/>
          <w:sz w:val="24"/>
          <w:szCs w:val="20"/>
        </w:rPr>
        <w:t xml:space="preserve"> </w:t>
      </w:r>
      <w:r w:rsidR="00364F94">
        <w:rPr>
          <w:rFonts w:cs="Times New Roman"/>
          <w:sz w:val="24"/>
          <w:szCs w:val="20"/>
        </w:rPr>
        <w:t xml:space="preserve">Reconocer los gastos de pasajes, hotel y comidas a la mencionada docente  </w:t>
      </w:r>
      <w:r w:rsidR="00665B4D">
        <w:rPr>
          <w:rFonts w:cs="Times New Roman"/>
          <w:sz w:val="24"/>
          <w:szCs w:val="20"/>
        </w:rPr>
        <w:t>correspondientes a</w:t>
      </w:r>
      <w:r w:rsidR="00364F94">
        <w:rPr>
          <w:rFonts w:cs="Times New Roman"/>
          <w:sz w:val="24"/>
          <w:szCs w:val="20"/>
        </w:rPr>
        <w:t xml:space="preserve"> su estadía en la ciudad </w:t>
      </w:r>
      <w:r w:rsidR="00965D18">
        <w:rPr>
          <w:rFonts w:cs="Times New Roman"/>
          <w:sz w:val="24"/>
          <w:szCs w:val="20"/>
        </w:rPr>
        <w:t>y afectar</w:t>
      </w:r>
      <w:r w:rsidR="00965D18" w:rsidRPr="00A30EDE">
        <w:rPr>
          <w:sz w:val="24"/>
        </w:rPr>
        <w:t xml:space="preserve"> presupuestariamente el pre</w:t>
      </w:r>
      <w:r w:rsidR="00965D18">
        <w:rPr>
          <w:sz w:val="24"/>
        </w:rPr>
        <w:t>sente gasto al Centro de Costo</w:t>
      </w:r>
      <w:r w:rsidR="00074E14" w:rsidRPr="00074E14">
        <w:rPr>
          <w:rFonts w:cs="Times New Roman"/>
          <w:sz w:val="24"/>
          <w:szCs w:val="20"/>
        </w:rPr>
        <w:t xml:space="preserve"> 509-XVIII </w:t>
      </w:r>
      <w:r w:rsidR="00965D18">
        <w:rPr>
          <w:rFonts w:cs="Times New Roman"/>
          <w:sz w:val="24"/>
          <w:szCs w:val="20"/>
        </w:rPr>
        <w:t xml:space="preserve">- </w:t>
      </w:r>
      <w:r w:rsidR="00074E14" w:rsidRPr="00074E14">
        <w:rPr>
          <w:rFonts w:cs="Times New Roman"/>
          <w:sz w:val="24"/>
          <w:szCs w:val="20"/>
        </w:rPr>
        <w:t>Congreso Argentino de Ciencias de la Computación</w:t>
      </w:r>
      <w:r w:rsidR="00074E14">
        <w:rPr>
          <w:rFonts w:cs="Times New Roman"/>
          <w:sz w:val="24"/>
          <w:szCs w:val="20"/>
        </w:rPr>
        <w:t>.-</w:t>
      </w:r>
    </w:p>
    <w:p w:rsidR="00074E14" w:rsidRPr="00E830FD" w:rsidRDefault="00074E14" w:rsidP="00E830FD">
      <w:pPr>
        <w:tabs>
          <w:tab w:val="left" w:pos="7350"/>
        </w:tabs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ab/>
      </w:r>
    </w:p>
    <w:p w:rsidR="005018D8" w:rsidRPr="005018D8" w:rsidRDefault="0020785A" w:rsidP="005018D8">
      <w:pPr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b/>
          <w:sz w:val="24"/>
          <w:szCs w:val="20"/>
        </w:rPr>
        <w:t>Art. 4</w:t>
      </w:r>
      <w:r w:rsidR="005018D8" w:rsidRPr="005018D8">
        <w:rPr>
          <w:rFonts w:cs="Times New Roman"/>
          <w:b/>
          <w:sz w:val="24"/>
          <w:szCs w:val="20"/>
        </w:rPr>
        <w:sym w:font="Symbol" w:char="F0B0"/>
      </w:r>
      <w:r w:rsidR="005018D8" w:rsidRPr="005018D8">
        <w:rPr>
          <w:rFonts w:cs="Times New Roman"/>
          <w:b/>
          <w:sz w:val="24"/>
          <w:szCs w:val="20"/>
        </w:rPr>
        <w:t>).-</w:t>
      </w:r>
      <w:r w:rsidR="005018D8" w:rsidRPr="005018D8">
        <w:rPr>
          <w:rFonts w:cs="Times New Roman"/>
          <w:sz w:val="24"/>
          <w:szCs w:val="20"/>
        </w:rPr>
        <w:t xml:space="preserve"> </w:t>
      </w:r>
      <w:r w:rsidR="00F032B0">
        <w:rPr>
          <w:rFonts w:cs="Times New Roman"/>
          <w:sz w:val="24"/>
          <w:szCs w:val="20"/>
        </w:rPr>
        <w:t xml:space="preserve">Regístrese, Comuníquese; gírese </w:t>
      </w:r>
      <w:r w:rsidR="005018D8" w:rsidRPr="005018D8">
        <w:rPr>
          <w:rFonts w:cs="Times New Roman"/>
          <w:sz w:val="24"/>
          <w:szCs w:val="20"/>
        </w:rPr>
        <w:t xml:space="preserve">a la Dirección General de Economía y Finanzas </w:t>
      </w:r>
      <w:r w:rsidR="00F032B0">
        <w:rPr>
          <w:rFonts w:cs="Times New Roman"/>
          <w:sz w:val="24"/>
          <w:szCs w:val="20"/>
        </w:rPr>
        <w:t>(Dirección de Programación Presupuestaria) a los fines que corresponda, pase al Consejo Superior Universitario para su tratamiento;</w:t>
      </w:r>
      <w:r w:rsidR="005018D8" w:rsidRPr="005018D8">
        <w:rPr>
          <w:rFonts w:cs="Times New Roman"/>
          <w:sz w:val="24"/>
          <w:szCs w:val="20"/>
        </w:rPr>
        <w:t xml:space="preserve"> cumplido, archívese.-----------</w:t>
      </w: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sectPr w:rsidR="005018D8" w:rsidRPr="005018D8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ia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2298A"/>
    <w:rsid w:val="00074E14"/>
    <w:rsid w:val="000B44DD"/>
    <w:rsid w:val="000C4F3B"/>
    <w:rsid w:val="000C7A42"/>
    <w:rsid w:val="001A7EEE"/>
    <w:rsid w:val="001B2CD9"/>
    <w:rsid w:val="001E283B"/>
    <w:rsid w:val="001E3095"/>
    <w:rsid w:val="0020785A"/>
    <w:rsid w:val="002128DD"/>
    <w:rsid w:val="00223C89"/>
    <w:rsid w:val="002F4689"/>
    <w:rsid w:val="00300B10"/>
    <w:rsid w:val="00331A6D"/>
    <w:rsid w:val="00334C72"/>
    <w:rsid w:val="003503CA"/>
    <w:rsid w:val="00360E01"/>
    <w:rsid w:val="00364F94"/>
    <w:rsid w:val="003867DD"/>
    <w:rsid w:val="0039411A"/>
    <w:rsid w:val="00494BBC"/>
    <w:rsid w:val="005018D8"/>
    <w:rsid w:val="005111B3"/>
    <w:rsid w:val="00511C7D"/>
    <w:rsid w:val="00536CC0"/>
    <w:rsid w:val="005663EE"/>
    <w:rsid w:val="005A7ADD"/>
    <w:rsid w:val="0064176F"/>
    <w:rsid w:val="00653E9D"/>
    <w:rsid w:val="00665B4D"/>
    <w:rsid w:val="00667BBD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315D5"/>
    <w:rsid w:val="00846BC3"/>
    <w:rsid w:val="00884166"/>
    <w:rsid w:val="00896C2E"/>
    <w:rsid w:val="00907A0D"/>
    <w:rsid w:val="0091752A"/>
    <w:rsid w:val="0093661A"/>
    <w:rsid w:val="009550FF"/>
    <w:rsid w:val="00965D18"/>
    <w:rsid w:val="0098798A"/>
    <w:rsid w:val="009D4C9B"/>
    <w:rsid w:val="009F1493"/>
    <w:rsid w:val="00A01BBD"/>
    <w:rsid w:val="00A17024"/>
    <w:rsid w:val="00A36F09"/>
    <w:rsid w:val="00A40001"/>
    <w:rsid w:val="00A7061A"/>
    <w:rsid w:val="00AA0C11"/>
    <w:rsid w:val="00AA26EF"/>
    <w:rsid w:val="00AB4661"/>
    <w:rsid w:val="00AB7294"/>
    <w:rsid w:val="00AD723A"/>
    <w:rsid w:val="00B0257E"/>
    <w:rsid w:val="00B56779"/>
    <w:rsid w:val="00C428DC"/>
    <w:rsid w:val="00C65799"/>
    <w:rsid w:val="00C7413C"/>
    <w:rsid w:val="00CC3E80"/>
    <w:rsid w:val="00CF4257"/>
    <w:rsid w:val="00D814C5"/>
    <w:rsid w:val="00D86309"/>
    <w:rsid w:val="00D92B6D"/>
    <w:rsid w:val="00E06670"/>
    <w:rsid w:val="00E30BEA"/>
    <w:rsid w:val="00E66DE1"/>
    <w:rsid w:val="00E7766F"/>
    <w:rsid w:val="00E830FD"/>
    <w:rsid w:val="00EB4EB1"/>
    <w:rsid w:val="00EC35CB"/>
    <w:rsid w:val="00EF5031"/>
    <w:rsid w:val="00F032B0"/>
    <w:rsid w:val="00F05AFD"/>
    <w:rsid w:val="00F87D70"/>
    <w:rsid w:val="00FC1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rsid w:val="00E830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7049">
          <w:marLeft w:val="36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3131">
          <w:marLeft w:val="36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.linkedin.com/company/usrlam-s.a.?trk=ppro_cpro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.linkedin.com/company/schlumberger?trk=ppro_cpr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.linkedin.com/company/hewlett-packard?trk=ppro_cprof" TargetMode="External"/><Relationship Id="rId5" Type="http://schemas.openxmlformats.org/officeDocument/2006/relationships/hyperlink" Target="http://ar.linkedin.com/company/hp-enterprise-services?trk=ppro_cpro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3265</CharactersWithSpaces>
  <SharedDoc>false</SharedDoc>
  <HLinks>
    <vt:vector size="24" baseType="variant">
      <vt:variant>
        <vt:i4>6422619</vt:i4>
      </vt:variant>
      <vt:variant>
        <vt:i4>9</vt:i4>
      </vt:variant>
      <vt:variant>
        <vt:i4>0</vt:i4>
      </vt:variant>
      <vt:variant>
        <vt:i4>5</vt:i4>
      </vt:variant>
      <vt:variant>
        <vt:lpwstr>http://ar.linkedin.com/company/usrlam-s.a.?trk=ppro_cprof</vt:lpwstr>
      </vt:variant>
      <vt:variant>
        <vt:lpwstr/>
      </vt:variant>
      <vt:variant>
        <vt:i4>7798794</vt:i4>
      </vt:variant>
      <vt:variant>
        <vt:i4>6</vt:i4>
      </vt:variant>
      <vt:variant>
        <vt:i4>0</vt:i4>
      </vt:variant>
      <vt:variant>
        <vt:i4>5</vt:i4>
      </vt:variant>
      <vt:variant>
        <vt:lpwstr>http://ar.linkedin.com/company/schlumberger?trk=ppro_cprof</vt:lpwstr>
      </vt:variant>
      <vt:variant>
        <vt:lpwstr/>
      </vt:variant>
      <vt:variant>
        <vt:i4>3211283</vt:i4>
      </vt:variant>
      <vt:variant>
        <vt:i4>3</vt:i4>
      </vt:variant>
      <vt:variant>
        <vt:i4>0</vt:i4>
      </vt:variant>
      <vt:variant>
        <vt:i4>5</vt:i4>
      </vt:variant>
      <vt:variant>
        <vt:lpwstr>http://ar.linkedin.com/company/hewlett-packard?trk=ppro_cprof</vt:lpwstr>
      </vt:variant>
      <vt:variant>
        <vt:lpwstr/>
      </vt:variant>
      <vt:variant>
        <vt:i4>5439524</vt:i4>
      </vt:variant>
      <vt:variant>
        <vt:i4>0</vt:i4>
      </vt:variant>
      <vt:variant>
        <vt:i4>0</vt:i4>
      </vt:variant>
      <vt:variant>
        <vt:i4>5</vt:i4>
      </vt:variant>
      <vt:variant>
        <vt:lpwstr>http://ar.linkedin.com/company/hp-enterprise-services?trk=ppro_cprof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2012-09-18T17:26:00Z</cp:lastPrinted>
  <dcterms:created xsi:type="dcterms:W3CDTF">2025-07-06T17:22:00Z</dcterms:created>
  <dcterms:modified xsi:type="dcterms:W3CDTF">2025-07-06T17:22:00Z</dcterms:modified>
</cp:coreProperties>
</file>