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A6B" w:rsidRDefault="00EF4A6B" w:rsidP="00BE3EFD">
      <w:pPr>
        <w:jc w:val="both"/>
        <w:rPr>
          <w:rFonts w:ascii="Arial" w:hAnsi="Arial"/>
        </w:rPr>
      </w:pPr>
      <w:r>
        <w:rPr>
          <w:rFonts w:ascii="Arial" w:hAnsi="Arial"/>
          <w:b/>
        </w:rPr>
        <w:t>REGISTRADO BAJO N</w:t>
      </w:r>
      <w:r>
        <w:rPr>
          <w:rFonts w:ascii="Arial" w:hAnsi="Arial"/>
          <w:b/>
        </w:rPr>
        <w:sym w:font="Symbol" w:char="F0B0"/>
      </w:r>
      <w:r w:rsidR="00CF0A00">
        <w:rPr>
          <w:rFonts w:ascii="Arial" w:hAnsi="Arial"/>
          <w:b/>
        </w:rPr>
        <w:t xml:space="preserve"> DCIC-0</w:t>
      </w:r>
      <w:r w:rsidR="00B32EBE">
        <w:rPr>
          <w:rFonts w:ascii="Arial" w:hAnsi="Arial"/>
          <w:b/>
        </w:rPr>
        <w:t>24</w:t>
      </w:r>
      <w:r>
        <w:rPr>
          <w:rFonts w:ascii="Arial" w:hAnsi="Arial"/>
          <w:b/>
        </w:rPr>
        <w:t>/</w:t>
      </w:r>
      <w:r w:rsidR="009C3025">
        <w:rPr>
          <w:rFonts w:ascii="Arial" w:hAnsi="Arial"/>
          <w:b/>
        </w:rPr>
        <w:t>1</w:t>
      </w:r>
      <w:r w:rsidR="00CF0A00">
        <w:rPr>
          <w:rFonts w:ascii="Arial" w:hAnsi="Arial"/>
          <w:b/>
        </w:rPr>
        <w:t>2</w:t>
      </w:r>
      <w:r>
        <w:rPr>
          <w:rFonts w:ascii="Arial" w:hAnsi="Arial"/>
        </w:rPr>
        <w:t xml:space="preserve">                 </w:t>
      </w:r>
    </w:p>
    <w:p w:rsidR="00EF4A6B" w:rsidRDefault="00EF4A6B" w:rsidP="00BE3EFD">
      <w:pPr>
        <w:jc w:val="both"/>
        <w:rPr>
          <w:rFonts w:ascii="Arial" w:hAnsi="Arial"/>
        </w:rPr>
      </w:pPr>
      <w:r>
        <w:rPr>
          <w:rFonts w:ascii="Arial" w:hAnsi="Arial"/>
        </w:rPr>
        <w:t xml:space="preserve">                      </w:t>
      </w:r>
    </w:p>
    <w:p w:rsidR="00EF4A6B" w:rsidRDefault="00EF4A6B" w:rsidP="00BE3EFD">
      <w:pPr>
        <w:ind w:firstLine="5670"/>
        <w:jc w:val="both"/>
        <w:rPr>
          <w:rFonts w:ascii="Arial" w:hAnsi="Arial"/>
        </w:rPr>
      </w:pPr>
      <w:r>
        <w:rPr>
          <w:rFonts w:ascii="Arial" w:hAnsi="Arial"/>
          <w:b/>
        </w:rPr>
        <w:t>BAHIA BLANCA,</w:t>
      </w:r>
      <w:r>
        <w:rPr>
          <w:rFonts w:ascii="Arial" w:hAnsi="Arial"/>
        </w:rPr>
        <w:t xml:space="preserve"> </w:t>
      </w:r>
    </w:p>
    <w:p w:rsidR="00602FD1" w:rsidRDefault="00602FD1" w:rsidP="00BE3EFD">
      <w:pPr>
        <w:ind w:firstLine="5670"/>
        <w:jc w:val="both"/>
        <w:rPr>
          <w:rFonts w:ascii="Arial" w:hAnsi="Arial"/>
        </w:rPr>
      </w:pPr>
    </w:p>
    <w:p w:rsidR="00602FD1" w:rsidRPr="00602FD1" w:rsidRDefault="00B32EBE" w:rsidP="0082431A">
      <w:pPr>
        <w:ind w:firstLine="5670"/>
        <w:jc w:val="right"/>
        <w:rPr>
          <w:rFonts w:ascii="Arial" w:hAnsi="Arial"/>
          <w:b/>
        </w:rPr>
      </w:pPr>
      <w:r>
        <w:rPr>
          <w:rFonts w:ascii="Arial" w:hAnsi="Arial"/>
          <w:b/>
        </w:rPr>
        <w:t>LEGAJO Nº 188</w:t>
      </w:r>
      <w:r w:rsidR="00602FD1" w:rsidRPr="00602FD1">
        <w:rPr>
          <w:rFonts w:ascii="Arial" w:hAnsi="Arial"/>
          <w:b/>
        </w:rPr>
        <w:t>/12</w:t>
      </w:r>
    </w:p>
    <w:p w:rsidR="00EF4A6B" w:rsidRDefault="00EF4A6B" w:rsidP="00BE3EFD">
      <w:pPr>
        <w:jc w:val="both"/>
        <w:rPr>
          <w:rFonts w:ascii="Arial" w:hAnsi="Arial"/>
        </w:rPr>
      </w:pPr>
    </w:p>
    <w:p w:rsidR="00EF4A6B" w:rsidRDefault="00B32EBE" w:rsidP="00BE3EFD">
      <w:pPr>
        <w:jc w:val="both"/>
        <w:rPr>
          <w:rFonts w:ascii="Arial" w:hAnsi="Arial"/>
          <w:b/>
        </w:rPr>
      </w:pPr>
      <w:r>
        <w:rPr>
          <w:rFonts w:ascii="Arial" w:hAnsi="Arial"/>
          <w:b/>
        </w:rPr>
        <w:t>VISTO</w:t>
      </w:r>
      <w:r w:rsidR="00EF4A6B">
        <w:rPr>
          <w:rFonts w:ascii="Arial" w:hAnsi="Arial"/>
          <w:b/>
        </w:rPr>
        <w:t>:</w:t>
      </w:r>
    </w:p>
    <w:p w:rsidR="00CF0A00" w:rsidRDefault="00B71A7A" w:rsidP="00CF0A00">
      <w:pPr>
        <w:jc w:val="both"/>
        <w:rPr>
          <w:rFonts w:ascii="Arial" w:hAnsi="Arial" w:cs="Arial"/>
        </w:rPr>
      </w:pPr>
      <w:r w:rsidRPr="00EF4A6B">
        <w:rPr>
          <w:rFonts w:ascii="Arial" w:hAnsi="Arial" w:cs="Arial"/>
        </w:rPr>
        <w:t xml:space="preserve"> </w:t>
      </w: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La Compra Directa Nº 274/2012 por la cual se tramita la adquisición de insumos informáticos para distintas dependencias de la Universidad; y</w:t>
      </w:r>
    </w:p>
    <w:p w:rsidR="000C26B3" w:rsidRDefault="000C26B3" w:rsidP="00BE3EFD">
      <w:pPr>
        <w:pStyle w:val="Textoindependiente"/>
        <w:rPr>
          <w:rFonts w:ascii="Arial" w:hAnsi="Arial" w:cs="Arial"/>
        </w:rPr>
      </w:pPr>
    </w:p>
    <w:p w:rsidR="00412E05" w:rsidRDefault="00B71A7A" w:rsidP="00412E05">
      <w:r w:rsidRPr="00EF4A6B">
        <w:rPr>
          <w:rFonts w:ascii="Arial" w:hAnsi="Arial" w:cs="Arial"/>
          <w:b/>
          <w:bCs/>
        </w:rPr>
        <w:t>CONSIDERANDO:</w:t>
      </w:r>
      <w:r w:rsidR="00412E05" w:rsidRPr="00412E05">
        <w:t xml:space="preserve"> </w:t>
      </w:r>
    </w:p>
    <w:p w:rsidR="00ED3917" w:rsidRDefault="00ED3917" w:rsidP="00CF0A00">
      <w:pPr>
        <w:pStyle w:val="Textoindependiente"/>
        <w:rPr>
          <w:rFonts w:ascii="Arial" w:hAnsi="Arial" w:cs="Arial"/>
        </w:rPr>
      </w:pP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 xml:space="preserve">Que con fecha 17 de septiembre del corriente la Comisión de pre adjudicación que entendió en la evaluación de las ofertas presentadas, recomendó la pre adjudicación de los renglones 7 a 11, 18 a 21, 26 a 27, 30 a 32, 34, 36 a 41, 43, 46 a 50, 53, 61 a 65, 70 a 76, 80 a 82, 84 a 85, 90 a 91, 93 a 95, 105 a 107, 119, 122 a 123, 125, 131 a 132, 134 y 147 a favor de la empresa EQUISUR SA, de los renglones 5, 58, 89, 99 y 135 a favor de la firma CASA HUMBERTO LUCAIOLI SA; de los renglones 51, 52, 56, 59, 66, 77, 78, 79, 100, 101, 102, 133, 137 a favor de la empresa C3I SA;  de los renglones 60, 96, 103, 109, 110, 130, 144, 145, 146 a favor de la firma OWEN de MIGUEL ANGEL MARTINEZ y de los renglones 54, 86, 87, 92, 97, 108, 111, 120, 121, 124, 126, 127, 148 a favor de la empresa TYLFOT de TUMINI y LUQUE; </w:t>
      </w:r>
    </w:p>
    <w:p w:rsidR="00B32EBE" w:rsidRPr="00B32EBE" w:rsidRDefault="00B32EBE" w:rsidP="00B32EBE">
      <w:pPr>
        <w:pStyle w:val="Textoindependiente"/>
        <w:ind w:firstLine="851"/>
        <w:rPr>
          <w:rFonts w:ascii="Arial" w:hAnsi="Arial" w:cs="Arial"/>
          <w:lang w:val="es-AR"/>
        </w:rPr>
      </w:pP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Que con fecha 19 de septiembre la Dirección de Contrataciones detectó que la empresa EQUISUR SA contaba con el Certificado Fiscal para contratar que emite la AFIP vencido, por lo que le solicitó presentara el nuevo certificado para poder proseguir con el trámite licitatorio;</w:t>
      </w:r>
    </w:p>
    <w:p w:rsidR="00B32EBE" w:rsidRPr="00B32EBE" w:rsidRDefault="00B32EBE" w:rsidP="00B32EBE">
      <w:pPr>
        <w:pStyle w:val="Textoindependiente"/>
        <w:ind w:firstLine="851"/>
        <w:rPr>
          <w:rFonts w:ascii="Arial" w:hAnsi="Arial" w:cs="Arial"/>
          <w:lang w:val="es-AR"/>
        </w:rPr>
      </w:pP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 xml:space="preserve">Que el artículo 83º, inciso b), apartado 2) del Decreto 893/2012 - Régimen de Contrataciones de la Administración Nacional – establece que se “deberá verificar la vigencia del Certificado Fiscal para Contratar emitido por la ADMINISTRACION FEDERAL DE INGRESOS PUBLICOS, si el mismo no estuviera vigente durante esta etapa y ello se debiera a causas imputables exclusivamente a la Administración, no podrá recomendar la desestimación de ofertas por este motivo. Si esta situación se mantuviera en la adjudicación o en el perfeccionamiento del contrato la autoridad competente podrá continuar con el procedimiento y en el caso que con posterioridad se verificara el incumplimiento por parte del </w:t>
      </w:r>
      <w:proofErr w:type="spellStart"/>
      <w:r w:rsidRPr="00B32EBE">
        <w:rPr>
          <w:rFonts w:ascii="Arial" w:hAnsi="Arial" w:cs="Arial"/>
          <w:lang w:val="es-AR"/>
        </w:rPr>
        <w:t>co</w:t>
      </w:r>
      <w:proofErr w:type="spellEnd"/>
      <w:r w:rsidRPr="00B32EBE">
        <w:rPr>
          <w:rFonts w:ascii="Arial" w:hAnsi="Arial" w:cs="Arial"/>
          <w:lang w:val="es-AR"/>
        </w:rPr>
        <w:t xml:space="preserve"> contratante de obligaciones tributarias o previsionales será causa para aplicar una sanción de apercibimiento.”     </w:t>
      </w: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       </w:t>
      </w: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 xml:space="preserve">Que la empresa citada ha iniciado el trámite para la obtención del certificado en cuestión con posterioridad a la fecha de apertura de ofertas; </w:t>
      </w:r>
    </w:p>
    <w:p w:rsidR="00B32EBE" w:rsidRPr="00B32EBE" w:rsidRDefault="00B32EBE" w:rsidP="00B32EBE">
      <w:pPr>
        <w:pStyle w:val="Textoindependiente"/>
        <w:ind w:firstLine="851"/>
        <w:rPr>
          <w:rFonts w:ascii="Arial" w:hAnsi="Arial" w:cs="Arial"/>
          <w:lang w:val="es-AR"/>
        </w:rPr>
      </w:pP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Que el artículo 85, inciso c) del Decreto 893/2012 –– establece que si se comprobara que “los requisitos exigidos no estaban vigentes al momento de la apertura de ofertas, se desestimará la oferta”;</w:t>
      </w:r>
    </w:p>
    <w:p w:rsidR="00B32EBE" w:rsidRPr="00B32EBE" w:rsidRDefault="00B32EBE" w:rsidP="00B32EBE">
      <w:pPr>
        <w:pStyle w:val="Textoindependiente"/>
        <w:ind w:firstLine="851"/>
        <w:rPr>
          <w:rFonts w:ascii="Arial" w:hAnsi="Arial" w:cs="Arial"/>
          <w:lang w:val="es-AR"/>
        </w:rPr>
      </w:pPr>
    </w:p>
    <w:p w:rsidR="0082431A" w:rsidRDefault="0082431A" w:rsidP="0082431A">
      <w:pPr>
        <w:jc w:val="both"/>
        <w:rPr>
          <w:rFonts w:ascii="Arial" w:hAnsi="Arial"/>
          <w:b/>
        </w:rPr>
      </w:pPr>
    </w:p>
    <w:p w:rsidR="0082431A" w:rsidRDefault="0082431A" w:rsidP="0082431A">
      <w:pPr>
        <w:jc w:val="both"/>
        <w:rPr>
          <w:rFonts w:ascii="Arial" w:hAnsi="Arial"/>
          <w:b/>
        </w:rPr>
      </w:pPr>
    </w:p>
    <w:p w:rsidR="0082431A" w:rsidRDefault="0082431A" w:rsidP="0082431A">
      <w:pPr>
        <w:jc w:val="both"/>
        <w:rPr>
          <w:rFonts w:ascii="Arial" w:hAnsi="Arial"/>
          <w:b/>
        </w:rPr>
      </w:pPr>
      <w:r>
        <w:rPr>
          <w:rFonts w:ascii="Arial" w:hAnsi="Arial"/>
          <w:b/>
        </w:rPr>
        <w:lastRenderedPageBreak/>
        <w:t>///DCIC-024/12</w:t>
      </w:r>
    </w:p>
    <w:p w:rsidR="0082431A" w:rsidRDefault="0082431A" w:rsidP="0082431A">
      <w:pPr>
        <w:jc w:val="both"/>
        <w:rPr>
          <w:rFonts w:ascii="Arial" w:hAnsi="Arial"/>
          <w:b/>
        </w:rPr>
      </w:pPr>
    </w:p>
    <w:p w:rsidR="00B32EBE" w:rsidRPr="00B32EBE" w:rsidRDefault="00B32EBE" w:rsidP="00B32EBE">
      <w:pPr>
        <w:pStyle w:val="Textoindependiente"/>
        <w:ind w:firstLine="851"/>
        <w:rPr>
          <w:rFonts w:ascii="Arial" w:hAnsi="Arial" w:cs="Arial"/>
          <w:lang w:val="es-AR"/>
        </w:rPr>
      </w:pPr>
      <w:r w:rsidRPr="00B32EBE">
        <w:rPr>
          <w:rFonts w:ascii="Arial" w:hAnsi="Arial" w:cs="Arial"/>
          <w:lang w:val="es-AR"/>
        </w:rPr>
        <w:t>Que este Departamento se encuentra facultado por la Resolución R 1652/2007 para emitir el presente acto administrativo, el cual debe cumplimentarse atento a lo que preceptúa el artículo 11 del Decreto 1023/2001;</w:t>
      </w:r>
    </w:p>
    <w:p w:rsidR="00B71A7A" w:rsidRPr="00EF4A6B" w:rsidRDefault="00B71A7A" w:rsidP="00BE3EFD">
      <w:pPr>
        <w:pStyle w:val="Textoindependiente"/>
        <w:rPr>
          <w:rFonts w:ascii="Arial" w:hAnsi="Arial" w:cs="Arial"/>
        </w:rPr>
      </w:pPr>
      <w:r w:rsidRPr="00EF4A6B">
        <w:rPr>
          <w:rFonts w:ascii="Arial" w:hAnsi="Arial" w:cs="Arial"/>
        </w:rPr>
        <w:t xml:space="preserve">         </w:t>
      </w:r>
    </w:p>
    <w:p w:rsidR="0082431A" w:rsidRPr="0082431A" w:rsidRDefault="0082431A" w:rsidP="00BE3EFD">
      <w:pPr>
        <w:jc w:val="both"/>
        <w:rPr>
          <w:rFonts w:ascii="Arial" w:hAnsi="Arial"/>
          <w:b/>
        </w:rPr>
      </w:pPr>
      <w:r>
        <w:rPr>
          <w:rFonts w:ascii="Arial" w:hAnsi="Arial"/>
        </w:rPr>
        <w:t xml:space="preserve">                </w:t>
      </w:r>
    </w:p>
    <w:p w:rsidR="00B71A7A" w:rsidRPr="00EF4A6B" w:rsidRDefault="00B71A7A" w:rsidP="00BE3EFD">
      <w:pPr>
        <w:jc w:val="both"/>
        <w:rPr>
          <w:rFonts w:ascii="Arial" w:hAnsi="Arial" w:cs="Arial"/>
          <w:b/>
          <w:bCs/>
        </w:rPr>
      </w:pPr>
      <w:r w:rsidRPr="00EF4A6B">
        <w:rPr>
          <w:rFonts w:ascii="Arial" w:hAnsi="Arial" w:cs="Arial"/>
          <w:b/>
          <w:bCs/>
        </w:rPr>
        <w:t>POR ELLO</w:t>
      </w:r>
      <w:r w:rsidR="00BE3EFD">
        <w:rPr>
          <w:rFonts w:ascii="Arial" w:hAnsi="Arial" w:cs="Arial"/>
          <w:b/>
          <w:bCs/>
        </w:rPr>
        <w:t>,</w:t>
      </w:r>
    </w:p>
    <w:p w:rsidR="00BE3EFD" w:rsidRDefault="00BE3EFD" w:rsidP="00BE3EFD">
      <w:pPr>
        <w:jc w:val="both"/>
        <w:rPr>
          <w:rFonts w:ascii="Arial" w:hAnsi="Arial" w:cs="Arial"/>
        </w:rPr>
      </w:pPr>
      <w:r>
        <w:rPr>
          <w:rFonts w:ascii="Arial" w:hAnsi="Arial" w:cs="Arial"/>
        </w:rPr>
        <w:t xml:space="preserve">    </w:t>
      </w:r>
    </w:p>
    <w:p w:rsidR="00BE3EFD" w:rsidRPr="00BE3EFD" w:rsidRDefault="00BE3EFD" w:rsidP="004F54A2">
      <w:pPr>
        <w:ind w:firstLine="708"/>
        <w:jc w:val="both"/>
        <w:rPr>
          <w:rFonts w:ascii="Arial" w:hAnsi="Arial" w:cs="Arial"/>
        </w:rPr>
      </w:pPr>
      <w:r>
        <w:rPr>
          <w:rFonts w:ascii="Arial" w:hAnsi="Arial"/>
          <w:b/>
        </w:rPr>
        <w:t>El Director Decano del Departamento de Ciencias e Ingeniería de la Computación</w:t>
      </w:r>
      <w:r w:rsidRPr="00BE3EFD">
        <w:rPr>
          <w:rFonts w:ascii="Arial" w:hAnsi="Arial"/>
          <w:b/>
        </w:rPr>
        <w:t xml:space="preserve"> </w:t>
      </w:r>
    </w:p>
    <w:p w:rsidR="00BE3EFD" w:rsidRDefault="00BE3EFD" w:rsidP="00BE3EFD">
      <w:pPr>
        <w:ind w:firstLine="1418"/>
        <w:jc w:val="both"/>
        <w:rPr>
          <w:rFonts w:ascii="Arial" w:hAnsi="Arial"/>
          <w:b/>
        </w:rPr>
      </w:pPr>
    </w:p>
    <w:p w:rsidR="00BE3EFD" w:rsidRDefault="00BE3EFD" w:rsidP="00BE3EFD">
      <w:pPr>
        <w:jc w:val="center"/>
        <w:rPr>
          <w:rFonts w:ascii="Arial" w:hAnsi="Arial"/>
        </w:rPr>
      </w:pPr>
      <w:r>
        <w:rPr>
          <w:rFonts w:ascii="Arial" w:hAnsi="Arial"/>
          <w:b/>
        </w:rPr>
        <w:t>R E S U E L V E :</w:t>
      </w:r>
    </w:p>
    <w:p w:rsidR="00B71A7A" w:rsidRPr="00EF4A6B" w:rsidRDefault="00B71A7A">
      <w:pPr>
        <w:rPr>
          <w:rFonts w:ascii="Arial" w:hAnsi="Arial" w:cs="Arial"/>
        </w:rPr>
      </w:pPr>
    </w:p>
    <w:p w:rsidR="00B32EBE" w:rsidRDefault="00BE3EFD" w:rsidP="00B32EBE">
      <w:pPr>
        <w:jc w:val="both"/>
        <w:rPr>
          <w:rFonts w:ascii="Arial" w:hAnsi="Arial"/>
          <w:lang w:val="es-AR"/>
        </w:rPr>
      </w:pPr>
      <w:r>
        <w:rPr>
          <w:rFonts w:ascii="Arial" w:hAnsi="Arial"/>
          <w:b/>
        </w:rPr>
        <w:t>Art. 1</w:t>
      </w:r>
      <w:r>
        <w:rPr>
          <w:rFonts w:ascii="Arial" w:hAnsi="Arial"/>
          <w:b/>
        </w:rPr>
        <w:sym w:font="Symbol" w:char="F0B0"/>
      </w:r>
      <w:r>
        <w:rPr>
          <w:rFonts w:ascii="Arial" w:hAnsi="Arial"/>
          <w:b/>
        </w:rPr>
        <w:t>).-</w:t>
      </w:r>
      <w:r>
        <w:rPr>
          <w:rFonts w:ascii="Arial" w:hAnsi="Arial"/>
        </w:rPr>
        <w:t xml:space="preserve"> </w:t>
      </w:r>
      <w:r w:rsidR="0082431A">
        <w:rPr>
          <w:rFonts w:ascii="Arial" w:hAnsi="Arial"/>
        </w:rPr>
        <w:t>Adjudicar</w:t>
      </w:r>
      <w:r w:rsidR="00B32EBE" w:rsidRPr="00B32EBE">
        <w:rPr>
          <w:rFonts w:ascii="Arial" w:hAnsi="Arial"/>
          <w:lang w:val="es-AR"/>
        </w:rPr>
        <w:t xml:space="preserve"> a favor de la firma </w:t>
      </w:r>
      <w:r w:rsidR="00B32EBE" w:rsidRPr="00B32EBE">
        <w:rPr>
          <w:rFonts w:ascii="Arial" w:hAnsi="Arial"/>
          <w:b/>
          <w:lang w:val="es-AR"/>
        </w:rPr>
        <w:t>C3I SA</w:t>
      </w:r>
      <w:r w:rsidR="00B32EBE" w:rsidRPr="00B32EBE">
        <w:rPr>
          <w:rFonts w:ascii="Arial" w:hAnsi="Arial"/>
          <w:lang w:val="es-AR"/>
        </w:rPr>
        <w:t xml:space="preserve"> en la suma de $ 2.129,09 (PESOS DOS MIL CIENTO VEINTINUEVE CON 09/100) la adquisición del material incluido en los renglones 77 a 79; en un todo de acuerdo a lo dispuesto en el artículo 25, inciso d) apartado 1 del Decreto 1.023/2001.</w:t>
      </w:r>
    </w:p>
    <w:p w:rsidR="00B32EBE" w:rsidRDefault="00B32EBE" w:rsidP="00B32EBE">
      <w:pPr>
        <w:jc w:val="both"/>
        <w:rPr>
          <w:rFonts w:ascii="Arial" w:hAnsi="Arial"/>
          <w:b/>
        </w:rPr>
      </w:pPr>
    </w:p>
    <w:p w:rsidR="00B32EBE" w:rsidRPr="00B32EBE" w:rsidRDefault="00B32EBE" w:rsidP="00B32EBE">
      <w:pPr>
        <w:jc w:val="both"/>
        <w:rPr>
          <w:rFonts w:ascii="Arial" w:hAnsi="Arial"/>
          <w:lang w:val="es-AR"/>
        </w:rPr>
      </w:pPr>
      <w:r>
        <w:rPr>
          <w:rFonts w:ascii="Arial" w:hAnsi="Arial"/>
          <w:b/>
        </w:rPr>
        <w:t>Art. 2</w:t>
      </w:r>
      <w:r>
        <w:rPr>
          <w:rFonts w:ascii="Arial" w:hAnsi="Arial"/>
          <w:b/>
        </w:rPr>
        <w:sym w:font="Symbol" w:char="F0B0"/>
      </w:r>
      <w:r>
        <w:rPr>
          <w:rFonts w:ascii="Arial" w:hAnsi="Arial"/>
          <w:b/>
        </w:rPr>
        <w:t>).-</w:t>
      </w:r>
      <w:r>
        <w:rPr>
          <w:rFonts w:ascii="Arial" w:hAnsi="Arial"/>
        </w:rPr>
        <w:t xml:space="preserve"> </w:t>
      </w:r>
      <w:r w:rsidRPr="00B32EBE">
        <w:rPr>
          <w:rFonts w:ascii="Arial" w:hAnsi="Arial"/>
          <w:lang w:val="es-AR"/>
        </w:rPr>
        <w:t>Declarar desierta la adjudicación de los renglones 74 a 76 de la Compra Directa Nº 274/2012; autorizando a la Dirección de Contrataciones a efectuar un nuevo llamado de los renglones citados, encuadrando el mismo en lo dispuesto por el art. 25° inc. d) ap. 4 del Decreto 1023/01.</w:t>
      </w:r>
    </w:p>
    <w:p w:rsidR="00B32EBE" w:rsidRDefault="00B32EBE" w:rsidP="00B32EBE">
      <w:pPr>
        <w:jc w:val="both"/>
        <w:rPr>
          <w:rFonts w:ascii="Arial" w:hAnsi="Arial"/>
          <w:lang w:val="es-AR"/>
        </w:rPr>
      </w:pPr>
    </w:p>
    <w:p w:rsidR="00B32EBE" w:rsidRPr="00B32EBE" w:rsidRDefault="00B71A7A" w:rsidP="00B32EBE">
      <w:pPr>
        <w:jc w:val="both"/>
        <w:rPr>
          <w:rFonts w:ascii="Arial" w:hAnsi="Arial" w:cs="Arial"/>
          <w:lang w:val="es-AR"/>
        </w:rPr>
      </w:pPr>
      <w:r>
        <w:rPr>
          <w:rFonts w:ascii="Arial" w:hAnsi="Arial"/>
          <w:b/>
        </w:rPr>
        <w:t xml:space="preserve">Art. </w:t>
      </w:r>
      <w:r w:rsidR="00526557">
        <w:rPr>
          <w:rFonts w:ascii="Arial" w:hAnsi="Arial"/>
          <w:b/>
        </w:rPr>
        <w:t>3</w:t>
      </w:r>
      <w:r>
        <w:rPr>
          <w:rFonts w:ascii="Arial" w:hAnsi="Arial"/>
          <w:b/>
        </w:rPr>
        <w:sym w:font="Symbol" w:char="F0B0"/>
      </w:r>
      <w:r>
        <w:rPr>
          <w:rFonts w:ascii="Arial" w:hAnsi="Arial"/>
          <w:b/>
        </w:rPr>
        <w:t>).-</w:t>
      </w:r>
      <w:r>
        <w:rPr>
          <w:rFonts w:ascii="Arial" w:hAnsi="Arial"/>
        </w:rPr>
        <w:t xml:space="preserve"> </w:t>
      </w:r>
      <w:r w:rsidR="00B32EBE" w:rsidRPr="00B32EBE">
        <w:rPr>
          <w:rFonts w:ascii="Arial" w:hAnsi="Arial" w:cs="Arial"/>
          <w:lang w:val="es-AR"/>
        </w:rPr>
        <w:t>Regístrese. Pase a la Dirección General de Economía y Finanzas. Cumplido, archívese.-</w:t>
      </w:r>
    </w:p>
    <w:p w:rsidR="00B71A7A" w:rsidRPr="00EF4A6B" w:rsidRDefault="00B71A7A" w:rsidP="00BE3EFD">
      <w:pPr>
        <w:jc w:val="both"/>
        <w:rPr>
          <w:rFonts w:ascii="Arial" w:hAnsi="Arial" w:cs="Arial"/>
        </w:rPr>
      </w:pPr>
    </w:p>
    <w:sectPr w:rsidR="00B71A7A" w:rsidRPr="00EF4A6B" w:rsidSect="0082431A">
      <w:pgSz w:w="11907" w:h="16840" w:code="9"/>
      <w:pgMar w:top="2552" w:right="567" w:bottom="567" w:left="18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23FCF"/>
    <w:multiLevelType w:val="hybridMultilevel"/>
    <w:tmpl w:val="752A65CA"/>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7F2B75F9"/>
    <w:multiLevelType w:val="hybridMultilevel"/>
    <w:tmpl w:val="3A52D02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11BF0"/>
    <w:rsid w:val="00006E8E"/>
    <w:rsid w:val="000150AF"/>
    <w:rsid w:val="00047864"/>
    <w:rsid w:val="000C220B"/>
    <w:rsid w:val="000C26B3"/>
    <w:rsid w:val="000D119A"/>
    <w:rsid w:val="000D77DB"/>
    <w:rsid w:val="00113E54"/>
    <w:rsid w:val="00125EE4"/>
    <w:rsid w:val="001462E4"/>
    <w:rsid w:val="001F631F"/>
    <w:rsid w:val="001F72C2"/>
    <w:rsid w:val="00232E6D"/>
    <w:rsid w:val="0026614E"/>
    <w:rsid w:val="003E49B4"/>
    <w:rsid w:val="00412E05"/>
    <w:rsid w:val="004F1350"/>
    <w:rsid w:val="004F54A2"/>
    <w:rsid w:val="00526557"/>
    <w:rsid w:val="00585125"/>
    <w:rsid w:val="00602FD1"/>
    <w:rsid w:val="0064083C"/>
    <w:rsid w:val="006E35D7"/>
    <w:rsid w:val="006F7390"/>
    <w:rsid w:val="0082431A"/>
    <w:rsid w:val="008412BC"/>
    <w:rsid w:val="0087560E"/>
    <w:rsid w:val="00992156"/>
    <w:rsid w:val="009C3025"/>
    <w:rsid w:val="009F0D59"/>
    <w:rsid w:val="00A315F2"/>
    <w:rsid w:val="00A37810"/>
    <w:rsid w:val="00AA068A"/>
    <w:rsid w:val="00AE116E"/>
    <w:rsid w:val="00AF5F09"/>
    <w:rsid w:val="00B32EBE"/>
    <w:rsid w:val="00B51CAE"/>
    <w:rsid w:val="00B71A7A"/>
    <w:rsid w:val="00BE3EFD"/>
    <w:rsid w:val="00C0715A"/>
    <w:rsid w:val="00C76818"/>
    <w:rsid w:val="00C927E8"/>
    <w:rsid w:val="00C951A4"/>
    <w:rsid w:val="00C9750C"/>
    <w:rsid w:val="00CE1DD4"/>
    <w:rsid w:val="00CE538D"/>
    <w:rsid w:val="00CF0A00"/>
    <w:rsid w:val="00D0133C"/>
    <w:rsid w:val="00D03C8B"/>
    <w:rsid w:val="00D5469F"/>
    <w:rsid w:val="00D93046"/>
    <w:rsid w:val="00D9588E"/>
    <w:rsid w:val="00DA032E"/>
    <w:rsid w:val="00E11BF0"/>
    <w:rsid w:val="00E74FF3"/>
    <w:rsid w:val="00E8510C"/>
    <w:rsid w:val="00EB3690"/>
    <w:rsid w:val="00ED2AEA"/>
    <w:rsid w:val="00ED3917"/>
    <w:rsid w:val="00EF4A6B"/>
    <w:rsid w:val="00F3517C"/>
    <w:rsid w:val="00FB207B"/>
    <w:rsid w:val="00FC3DC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style>
</w:styles>
</file>

<file path=word/webSettings.xml><?xml version="1.0" encoding="utf-8"?>
<w:webSettings xmlns:r="http://schemas.openxmlformats.org/officeDocument/2006/relationships" xmlns:w="http://schemas.openxmlformats.org/wordprocessingml/2006/main">
  <w:divs>
    <w:div w:id="12072408">
      <w:bodyDiv w:val="1"/>
      <w:marLeft w:val="0"/>
      <w:marRight w:val="0"/>
      <w:marTop w:val="0"/>
      <w:marBottom w:val="0"/>
      <w:divBdr>
        <w:top w:val="none" w:sz="0" w:space="0" w:color="auto"/>
        <w:left w:val="none" w:sz="0" w:space="0" w:color="auto"/>
        <w:bottom w:val="none" w:sz="0" w:space="0" w:color="auto"/>
        <w:right w:val="none" w:sz="0" w:space="0" w:color="auto"/>
      </w:divBdr>
    </w:div>
    <w:div w:id="32312149">
      <w:bodyDiv w:val="1"/>
      <w:marLeft w:val="0"/>
      <w:marRight w:val="0"/>
      <w:marTop w:val="0"/>
      <w:marBottom w:val="0"/>
      <w:divBdr>
        <w:top w:val="none" w:sz="0" w:space="0" w:color="auto"/>
        <w:left w:val="none" w:sz="0" w:space="0" w:color="auto"/>
        <w:bottom w:val="none" w:sz="0" w:space="0" w:color="auto"/>
        <w:right w:val="none" w:sz="0" w:space="0" w:color="auto"/>
      </w:divBdr>
    </w:div>
    <w:div w:id="256064524">
      <w:bodyDiv w:val="1"/>
      <w:marLeft w:val="0"/>
      <w:marRight w:val="0"/>
      <w:marTop w:val="0"/>
      <w:marBottom w:val="0"/>
      <w:divBdr>
        <w:top w:val="none" w:sz="0" w:space="0" w:color="auto"/>
        <w:left w:val="none" w:sz="0" w:space="0" w:color="auto"/>
        <w:bottom w:val="none" w:sz="0" w:space="0" w:color="auto"/>
        <w:right w:val="none" w:sz="0" w:space="0" w:color="auto"/>
      </w:divBdr>
    </w:div>
    <w:div w:id="497618302">
      <w:bodyDiv w:val="1"/>
      <w:marLeft w:val="0"/>
      <w:marRight w:val="0"/>
      <w:marTop w:val="0"/>
      <w:marBottom w:val="0"/>
      <w:divBdr>
        <w:top w:val="none" w:sz="0" w:space="0" w:color="auto"/>
        <w:left w:val="none" w:sz="0" w:space="0" w:color="auto"/>
        <w:bottom w:val="none" w:sz="0" w:space="0" w:color="auto"/>
        <w:right w:val="none" w:sz="0" w:space="0" w:color="auto"/>
      </w:divBdr>
    </w:div>
    <w:div w:id="1680572200">
      <w:bodyDiv w:val="1"/>
      <w:marLeft w:val="0"/>
      <w:marRight w:val="0"/>
      <w:marTop w:val="0"/>
      <w:marBottom w:val="0"/>
      <w:divBdr>
        <w:top w:val="none" w:sz="0" w:space="0" w:color="auto"/>
        <w:left w:val="none" w:sz="0" w:space="0" w:color="auto"/>
        <w:bottom w:val="none" w:sz="0" w:space="0" w:color="auto"/>
        <w:right w:val="none" w:sz="0" w:space="0" w:color="auto"/>
      </w:divBdr>
    </w:div>
    <w:div w:id="1736271635">
      <w:bodyDiv w:val="1"/>
      <w:marLeft w:val="0"/>
      <w:marRight w:val="0"/>
      <w:marTop w:val="0"/>
      <w:marBottom w:val="0"/>
      <w:divBdr>
        <w:top w:val="none" w:sz="0" w:space="0" w:color="auto"/>
        <w:left w:val="none" w:sz="0" w:space="0" w:color="auto"/>
        <w:bottom w:val="none" w:sz="0" w:space="0" w:color="auto"/>
        <w:right w:val="none" w:sz="0" w:space="0" w:color="auto"/>
      </w:divBdr>
    </w:div>
    <w:div w:id="2059696533">
      <w:bodyDiv w:val="1"/>
      <w:marLeft w:val="0"/>
      <w:marRight w:val="0"/>
      <w:marTop w:val="0"/>
      <w:marBottom w:val="0"/>
      <w:divBdr>
        <w:top w:val="none" w:sz="0" w:space="0" w:color="auto"/>
        <w:left w:val="none" w:sz="0" w:space="0" w:color="auto"/>
        <w:bottom w:val="none" w:sz="0" w:space="0" w:color="auto"/>
        <w:right w:val="none" w:sz="0" w:space="0" w:color="auto"/>
      </w:divBdr>
      <w:divsChild>
        <w:div w:id="217983322">
          <w:marLeft w:val="0"/>
          <w:marRight w:val="0"/>
          <w:marTop w:val="0"/>
          <w:marBottom w:val="0"/>
          <w:divBdr>
            <w:top w:val="none" w:sz="0" w:space="0" w:color="auto"/>
            <w:left w:val="none" w:sz="0" w:space="0" w:color="auto"/>
            <w:bottom w:val="none" w:sz="0" w:space="0" w:color="auto"/>
            <w:right w:val="none" w:sz="0" w:space="0" w:color="auto"/>
          </w:divBdr>
          <w:divsChild>
            <w:div w:id="1388065278">
              <w:marLeft w:val="0"/>
              <w:marRight w:val="0"/>
              <w:marTop w:val="0"/>
              <w:marBottom w:val="0"/>
              <w:divBdr>
                <w:top w:val="none" w:sz="0" w:space="0" w:color="auto"/>
                <w:left w:val="none" w:sz="0" w:space="0" w:color="auto"/>
                <w:bottom w:val="none" w:sz="0" w:space="0" w:color="auto"/>
                <w:right w:val="none" w:sz="0" w:space="0" w:color="auto"/>
              </w:divBdr>
            </w:div>
            <w:div w:id="1877039644">
              <w:marLeft w:val="0"/>
              <w:marRight w:val="0"/>
              <w:marTop w:val="0"/>
              <w:marBottom w:val="0"/>
              <w:divBdr>
                <w:top w:val="none" w:sz="0" w:space="0" w:color="auto"/>
                <w:left w:val="none" w:sz="0" w:space="0" w:color="auto"/>
                <w:bottom w:val="none" w:sz="0" w:space="0" w:color="auto"/>
                <w:right w:val="none" w:sz="0" w:space="0" w:color="auto"/>
              </w:divBdr>
            </w:div>
            <w:div w:id="20882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REGISTRADO Nº DD BB y F  217/02                                 BAHIA BLANCA 11</vt:lpstr>
    </vt:vector>
  </TitlesOfParts>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Nº DD BB y F  217/02                                 BAHIA BLANCA 11</dc:title>
  <dc:subject/>
  <dc:creator>Maria de los Angeles</dc:creator>
  <cp:keywords/>
  <cp:lastModifiedBy>Keith</cp:lastModifiedBy>
  <cp:revision>2</cp:revision>
  <cp:lastPrinted>2012-12-04T16:37:00Z</cp:lastPrinted>
  <dcterms:created xsi:type="dcterms:W3CDTF">2025-07-06T17:28:00Z</dcterms:created>
  <dcterms:modified xsi:type="dcterms:W3CDTF">2025-07-06T17:28:00Z</dcterms:modified>
</cp:coreProperties>
</file>