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6B" w:rsidRDefault="00EF4A6B" w:rsidP="00BE3EFD">
      <w:pPr>
        <w:jc w:val="both"/>
        <w:rPr>
          <w:rFonts w:ascii="Arial" w:hAnsi="Arial"/>
        </w:rPr>
      </w:pPr>
      <w:r>
        <w:rPr>
          <w:rFonts w:ascii="Arial" w:hAnsi="Arial"/>
          <w:b/>
        </w:rPr>
        <w:t>REGISTRADO BAJO N</w:t>
      </w:r>
      <w:r>
        <w:rPr>
          <w:rFonts w:ascii="Arial" w:hAnsi="Arial"/>
          <w:b/>
        </w:rPr>
        <w:sym w:font="Symbol" w:char="F0B0"/>
      </w:r>
      <w:r w:rsidR="00CF0A00">
        <w:rPr>
          <w:rFonts w:ascii="Arial" w:hAnsi="Arial"/>
          <w:b/>
        </w:rPr>
        <w:t xml:space="preserve"> DCIC-0</w:t>
      </w:r>
      <w:r w:rsidR="00B32EBE">
        <w:rPr>
          <w:rFonts w:ascii="Arial" w:hAnsi="Arial"/>
          <w:b/>
        </w:rPr>
        <w:t>2</w:t>
      </w:r>
      <w:r w:rsidR="00084A3B">
        <w:rPr>
          <w:rFonts w:ascii="Arial" w:hAnsi="Arial"/>
          <w:b/>
        </w:rPr>
        <w:t>8</w:t>
      </w:r>
      <w:r>
        <w:rPr>
          <w:rFonts w:ascii="Arial" w:hAnsi="Arial"/>
          <w:b/>
        </w:rPr>
        <w:t>/</w:t>
      </w:r>
      <w:r w:rsidR="009C3025">
        <w:rPr>
          <w:rFonts w:ascii="Arial" w:hAnsi="Arial"/>
          <w:b/>
        </w:rPr>
        <w:t>1</w:t>
      </w:r>
      <w:r w:rsidR="00CF0A00">
        <w:rPr>
          <w:rFonts w:ascii="Arial" w:hAnsi="Arial"/>
          <w:b/>
        </w:rPr>
        <w:t>2</w:t>
      </w:r>
      <w:r>
        <w:rPr>
          <w:rFonts w:ascii="Arial" w:hAnsi="Arial"/>
        </w:rPr>
        <w:t xml:space="preserve">                 </w:t>
      </w:r>
    </w:p>
    <w:p w:rsidR="00EF4A6B" w:rsidRDefault="00EF4A6B" w:rsidP="00BE3EFD">
      <w:pPr>
        <w:jc w:val="both"/>
        <w:rPr>
          <w:rFonts w:ascii="Arial" w:hAnsi="Arial"/>
        </w:rPr>
      </w:pPr>
      <w:r>
        <w:rPr>
          <w:rFonts w:ascii="Arial" w:hAnsi="Arial"/>
        </w:rPr>
        <w:t xml:space="preserve">                      </w:t>
      </w:r>
    </w:p>
    <w:p w:rsidR="00EF4A6B" w:rsidRDefault="00EF4A6B" w:rsidP="00BE3EFD">
      <w:pPr>
        <w:ind w:firstLine="5670"/>
        <w:jc w:val="both"/>
        <w:rPr>
          <w:rFonts w:ascii="Arial" w:hAnsi="Arial"/>
        </w:rPr>
      </w:pPr>
      <w:r>
        <w:rPr>
          <w:rFonts w:ascii="Arial" w:hAnsi="Arial"/>
          <w:b/>
        </w:rPr>
        <w:t>BAHIA BLANCA,</w:t>
      </w:r>
      <w:r>
        <w:rPr>
          <w:rFonts w:ascii="Arial" w:hAnsi="Arial"/>
        </w:rPr>
        <w:t xml:space="preserve"> </w:t>
      </w:r>
    </w:p>
    <w:p w:rsidR="00602FD1" w:rsidRDefault="00602FD1" w:rsidP="00BE3EFD">
      <w:pPr>
        <w:ind w:firstLine="5670"/>
        <w:jc w:val="both"/>
        <w:rPr>
          <w:rFonts w:ascii="Arial" w:hAnsi="Arial"/>
        </w:rPr>
      </w:pPr>
    </w:p>
    <w:p w:rsidR="00602FD1" w:rsidRPr="00602FD1" w:rsidRDefault="00B32EBE" w:rsidP="0082431A">
      <w:pPr>
        <w:ind w:firstLine="5670"/>
        <w:jc w:val="right"/>
        <w:rPr>
          <w:rFonts w:ascii="Arial" w:hAnsi="Arial"/>
          <w:b/>
        </w:rPr>
      </w:pPr>
      <w:r>
        <w:rPr>
          <w:rFonts w:ascii="Arial" w:hAnsi="Arial"/>
          <w:b/>
        </w:rPr>
        <w:t>LEGAJO Nº 188</w:t>
      </w:r>
      <w:r w:rsidR="00602FD1" w:rsidRPr="00602FD1">
        <w:rPr>
          <w:rFonts w:ascii="Arial" w:hAnsi="Arial"/>
          <w:b/>
        </w:rPr>
        <w:t>/12</w:t>
      </w:r>
    </w:p>
    <w:p w:rsidR="00EF4A6B" w:rsidRDefault="00EF4A6B" w:rsidP="00BE3EFD">
      <w:pPr>
        <w:jc w:val="both"/>
        <w:rPr>
          <w:rFonts w:ascii="Arial" w:hAnsi="Arial"/>
        </w:rPr>
      </w:pPr>
    </w:p>
    <w:p w:rsidR="00EF4A6B" w:rsidRDefault="00B32EBE" w:rsidP="00BE3EFD">
      <w:pPr>
        <w:jc w:val="both"/>
        <w:rPr>
          <w:rFonts w:ascii="Arial" w:hAnsi="Arial"/>
          <w:b/>
        </w:rPr>
      </w:pPr>
      <w:r>
        <w:rPr>
          <w:rFonts w:ascii="Arial" w:hAnsi="Arial"/>
          <w:b/>
        </w:rPr>
        <w:t>VISTO</w:t>
      </w:r>
      <w:r w:rsidR="00EF4A6B">
        <w:rPr>
          <w:rFonts w:ascii="Arial" w:hAnsi="Arial"/>
          <w:b/>
        </w:rPr>
        <w:t>:</w:t>
      </w:r>
    </w:p>
    <w:p w:rsidR="00CF0A00" w:rsidRDefault="00B71A7A" w:rsidP="00CF0A00">
      <w:pPr>
        <w:jc w:val="both"/>
        <w:rPr>
          <w:rFonts w:ascii="Arial" w:hAnsi="Arial" w:cs="Arial"/>
        </w:rPr>
      </w:pPr>
      <w:r w:rsidRPr="00EF4A6B">
        <w:rPr>
          <w:rFonts w:ascii="Arial" w:hAnsi="Arial" w:cs="Arial"/>
        </w:rPr>
        <w:t xml:space="preserve"> </w:t>
      </w: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 xml:space="preserve">La Compra Directa Nº </w:t>
      </w:r>
      <w:r w:rsidR="00084A3B">
        <w:rPr>
          <w:rFonts w:ascii="Arial" w:hAnsi="Arial" w:cs="Arial"/>
          <w:lang w:val="es-AR"/>
        </w:rPr>
        <w:t>386</w:t>
      </w:r>
      <w:r w:rsidRPr="00B32EBE">
        <w:rPr>
          <w:rFonts w:ascii="Arial" w:hAnsi="Arial" w:cs="Arial"/>
          <w:lang w:val="es-AR"/>
        </w:rPr>
        <w:t xml:space="preserve">/2012 por la cual se tramita </w:t>
      </w:r>
      <w:r w:rsidR="00084A3B">
        <w:rPr>
          <w:rFonts w:ascii="Arial" w:hAnsi="Arial" w:cs="Arial"/>
          <w:lang w:val="es-AR"/>
        </w:rPr>
        <w:t xml:space="preserve">el segundo llamado para </w:t>
      </w:r>
      <w:r w:rsidRPr="00B32EBE">
        <w:rPr>
          <w:rFonts w:ascii="Arial" w:hAnsi="Arial" w:cs="Arial"/>
          <w:lang w:val="es-AR"/>
        </w:rPr>
        <w:t>la adquisición de insumos informáticos para distintas dependencias de la Universidad; y</w:t>
      </w:r>
    </w:p>
    <w:p w:rsidR="000C26B3" w:rsidRDefault="000C26B3" w:rsidP="00BE3EFD">
      <w:pPr>
        <w:pStyle w:val="Textoindependiente"/>
        <w:rPr>
          <w:rFonts w:ascii="Arial" w:hAnsi="Arial" w:cs="Arial"/>
        </w:rPr>
      </w:pPr>
    </w:p>
    <w:p w:rsidR="00412E05" w:rsidRDefault="00B71A7A" w:rsidP="00412E05">
      <w:r w:rsidRPr="00EF4A6B">
        <w:rPr>
          <w:rFonts w:ascii="Arial" w:hAnsi="Arial" w:cs="Arial"/>
          <w:b/>
          <w:bCs/>
        </w:rPr>
        <w:t>CONSIDERANDO:</w:t>
      </w:r>
      <w:r w:rsidR="00412E05" w:rsidRPr="00412E05">
        <w:t xml:space="preserve"> </w:t>
      </w:r>
    </w:p>
    <w:p w:rsidR="00ED3917" w:rsidRDefault="00ED3917" w:rsidP="00CF0A00">
      <w:pPr>
        <w:pStyle w:val="Textoindependiente"/>
        <w:rPr>
          <w:rFonts w:ascii="Arial" w:hAnsi="Arial" w:cs="Arial"/>
        </w:rPr>
      </w:pPr>
    </w:p>
    <w:p w:rsidR="00B32EBE" w:rsidRPr="00B32EBE" w:rsidRDefault="00084A3B" w:rsidP="00B32EBE">
      <w:pPr>
        <w:pStyle w:val="Textoindependiente"/>
        <w:ind w:firstLine="851"/>
        <w:rPr>
          <w:rFonts w:ascii="Arial" w:hAnsi="Arial" w:cs="Arial"/>
          <w:lang w:val="es-AR"/>
        </w:rPr>
      </w:pPr>
      <w:r>
        <w:rPr>
          <w:rFonts w:ascii="Arial" w:hAnsi="Arial" w:cs="Arial"/>
          <w:lang w:val="es-AR"/>
        </w:rPr>
        <w:t>Que con fecha 29</w:t>
      </w:r>
      <w:r w:rsidR="00B32EBE" w:rsidRPr="00B32EBE">
        <w:rPr>
          <w:rFonts w:ascii="Arial" w:hAnsi="Arial" w:cs="Arial"/>
          <w:lang w:val="es-AR"/>
        </w:rPr>
        <w:t xml:space="preserve"> de </w:t>
      </w:r>
      <w:r>
        <w:rPr>
          <w:rFonts w:ascii="Arial" w:hAnsi="Arial" w:cs="Arial"/>
          <w:lang w:val="es-AR"/>
        </w:rPr>
        <w:t>nov</w:t>
      </w:r>
      <w:r w:rsidR="00B32EBE" w:rsidRPr="00B32EBE">
        <w:rPr>
          <w:rFonts w:ascii="Arial" w:hAnsi="Arial" w:cs="Arial"/>
          <w:lang w:val="es-AR"/>
        </w:rPr>
        <w:t xml:space="preserve">iembre del corriente la Comisión de pre adjudicación que entendió en la evaluación de las ofertas presentadas, recomendó la pre adjudicación de los renglones </w:t>
      </w:r>
      <w:r>
        <w:rPr>
          <w:rFonts w:ascii="Arial" w:hAnsi="Arial" w:cs="Arial"/>
          <w:lang w:val="es-AR"/>
        </w:rPr>
        <w:t>3</w:t>
      </w:r>
      <w:r w:rsidR="00B32EBE" w:rsidRPr="00B32EBE">
        <w:rPr>
          <w:rFonts w:ascii="Arial" w:hAnsi="Arial" w:cs="Arial"/>
          <w:lang w:val="es-AR"/>
        </w:rPr>
        <w:t xml:space="preserve"> a </w:t>
      </w:r>
      <w:r>
        <w:rPr>
          <w:rFonts w:ascii="Arial" w:hAnsi="Arial" w:cs="Arial"/>
          <w:lang w:val="es-AR"/>
        </w:rPr>
        <w:t>5</w:t>
      </w:r>
      <w:r w:rsidR="00B32EBE" w:rsidRPr="00B32EBE">
        <w:rPr>
          <w:rFonts w:ascii="Arial" w:hAnsi="Arial" w:cs="Arial"/>
          <w:lang w:val="es-AR"/>
        </w:rPr>
        <w:t xml:space="preserve">, </w:t>
      </w:r>
      <w:r>
        <w:rPr>
          <w:rFonts w:ascii="Arial" w:hAnsi="Arial" w:cs="Arial"/>
          <w:lang w:val="es-AR"/>
        </w:rPr>
        <w:t>5</w:t>
      </w:r>
      <w:r w:rsidR="00B32EBE" w:rsidRPr="00B32EBE">
        <w:rPr>
          <w:rFonts w:ascii="Arial" w:hAnsi="Arial" w:cs="Arial"/>
          <w:lang w:val="es-AR"/>
        </w:rPr>
        <w:t>8</w:t>
      </w:r>
      <w:r>
        <w:rPr>
          <w:rFonts w:ascii="Arial" w:hAnsi="Arial" w:cs="Arial"/>
          <w:lang w:val="es-AR"/>
        </w:rPr>
        <w:t>,</w:t>
      </w:r>
      <w:r w:rsidR="00B32EBE" w:rsidRPr="00B32EBE">
        <w:rPr>
          <w:rFonts w:ascii="Arial" w:hAnsi="Arial" w:cs="Arial"/>
          <w:lang w:val="es-AR"/>
        </w:rPr>
        <w:t xml:space="preserve"> </w:t>
      </w:r>
      <w:r>
        <w:rPr>
          <w:rFonts w:ascii="Arial" w:hAnsi="Arial" w:cs="Arial"/>
          <w:lang w:val="es-AR"/>
        </w:rPr>
        <w:t>59</w:t>
      </w:r>
      <w:r w:rsidR="00B32EBE" w:rsidRPr="00B32EBE">
        <w:rPr>
          <w:rFonts w:ascii="Arial" w:hAnsi="Arial" w:cs="Arial"/>
          <w:lang w:val="es-AR"/>
        </w:rPr>
        <w:t xml:space="preserve">, </w:t>
      </w:r>
      <w:r>
        <w:rPr>
          <w:rFonts w:ascii="Arial" w:hAnsi="Arial" w:cs="Arial"/>
          <w:lang w:val="es-AR"/>
        </w:rPr>
        <w:t>74,</w:t>
      </w:r>
      <w:r w:rsidR="00B32EBE" w:rsidRPr="00B32EBE">
        <w:rPr>
          <w:rFonts w:ascii="Arial" w:hAnsi="Arial" w:cs="Arial"/>
          <w:lang w:val="es-AR"/>
        </w:rPr>
        <w:t xml:space="preserve"> </w:t>
      </w:r>
      <w:r>
        <w:rPr>
          <w:rFonts w:ascii="Arial" w:hAnsi="Arial" w:cs="Arial"/>
          <w:lang w:val="es-AR"/>
        </w:rPr>
        <w:t>8</w:t>
      </w:r>
      <w:r w:rsidR="00B32EBE" w:rsidRPr="00B32EBE">
        <w:rPr>
          <w:rFonts w:ascii="Arial" w:hAnsi="Arial" w:cs="Arial"/>
          <w:lang w:val="es-AR"/>
        </w:rPr>
        <w:t>0 y 1</w:t>
      </w:r>
      <w:r>
        <w:rPr>
          <w:rFonts w:ascii="Arial" w:hAnsi="Arial" w:cs="Arial"/>
          <w:lang w:val="es-AR"/>
        </w:rPr>
        <w:t>02</w:t>
      </w:r>
      <w:r w:rsidR="00B32EBE" w:rsidRPr="00B32EBE">
        <w:rPr>
          <w:rFonts w:ascii="Arial" w:hAnsi="Arial" w:cs="Arial"/>
          <w:lang w:val="es-AR"/>
        </w:rPr>
        <w:t xml:space="preserve"> a favor de la empresa </w:t>
      </w:r>
      <w:r>
        <w:rPr>
          <w:rFonts w:ascii="Arial" w:hAnsi="Arial" w:cs="Arial"/>
          <w:lang w:val="es-AR"/>
        </w:rPr>
        <w:t>C3I</w:t>
      </w:r>
      <w:r w:rsidR="00B32EBE" w:rsidRPr="00B32EBE">
        <w:rPr>
          <w:rFonts w:ascii="Arial" w:hAnsi="Arial" w:cs="Arial"/>
          <w:lang w:val="es-AR"/>
        </w:rPr>
        <w:t xml:space="preserve"> SA, de los renglones </w:t>
      </w:r>
      <w:r>
        <w:rPr>
          <w:rFonts w:ascii="Arial" w:hAnsi="Arial" w:cs="Arial"/>
          <w:lang w:val="es-AR"/>
        </w:rPr>
        <w:t>20</w:t>
      </w:r>
      <w:r w:rsidR="00B32EBE" w:rsidRPr="00B32EBE">
        <w:rPr>
          <w:rFonts w:ascii="Arial" w:hAnsi="Arial" w:cs="Arial"/>
          <w:lang w:val="es-AR"/>
        </w:rPr>
        <w:t xml:space="preserve">, </w:t>
      </w:r>
      <w:r>
        <w:rPr>
          <w:rFonts w:ascii="Arial" w:hAnsi="Arial" w:cs="Arial"/>
          <w:lang w:val="es-AR"/>
        </w:rPr>
        <w:t>29</w:t>
      </w:r>
      <w:r w:rsidR="00B32EBE" w:rsidRPr="00B32EBE">
        <w:rPr>
          <w:rFonts w:ascii="Arial" w:hAnsi="Arial" w:cs="Arial"/>
          <w:lang w:val="es-AR"/>
        </w:rPr>
        <w:t xml:space="preserve">, </w:t>
      </w:r>
      <w:r>
        <w:rPr>
          <w:rFonts w:ascii="Arial" w:hAnsi="Arial" w:cs="Arial"/>
          <w:lang w:val="es-AR"/>
        </w:rPr>
        <w:t>31</w:t>
      </w:r>
      <w:r w:rsidR="00B32EBE" w:rsidRPr="00B32EBE">
        <w:rPr>
          <w:rFonts w:ascii="Arial" w:hAnsi="Arial" w:cs="Arial"/>
          <w:lang w:val="es-AR"/>
        </w:rPr>
        <w:t xml:space="preserve">, </w:t>
      </w:r>
      <w:r>
        <w:rPr>
          <w:rFonts w:ascii="Arial" w:hAnsi="Arial" w:cs="Arial"/>
          <w:lang w:val="es-AR"/>
        </w:rPr>
        <w:t>37, 46</w:t>
      </w:r>
      <w:r w:rsidR="0030335F">
        <w:rPr>
          <w:rFonts w:ascii="Arial" w:hAnsi="Arial" w:cs="Arial"/>
          <w:lang w:val="es-AR"/>
        </w:rPr>
        <w:t xml:space="preserve"> a 48, 56, 63, 64, 67, 72, 77, 78, 84, 93, 94, 97 y 99 </w:t>
      </w:r>
      <w:r w:rsidR="00B32EBE" w:rsidRPr="00B32EBE">
        <w:rPr>
          <w:rFonts w:ascii="Arial" w:hAnsi="Arial" w:cs="Arial"/>
          <w:lang w:val="es-AR"/>
        </w:rPr>
        <w:t xml:space="preserve">a favor de la firma </w:t>
      </w:r>
      <w:r w:rsidR="0030335F">
        <w:rPr>
          <w:rFonts w:ascii="Arial" w:hAnsi="Arial" w:cs="Arial"/>
          <w:lang w:val="es-AR"/>
        </w:rPr>
        <w:t>GALLEGO JOSE MARIA</w:t>
      </w:r>
      <w:r w:rsidR="00B32EBE" w:rsidRPr="00B32EBE">
        <w:rPr>
          <w:rFonts w:ascii="Arial" w:hAnsi="Arial" w:cs="Arial"/>
          <w:lang w:val="es-AR"/>
        </w:rPr>
        <w:t xml:space="preserve">; de los renglones 1, </w:t>
      </w:r>
      <w:r w:rsidR="0030335F">
        <w:rPr>
          <w:rFonts w:ascii="Arial" w:hAnsi="Arial" w:cs="Arial"/>
          <w:lang w:val="es-AR"/>
        </w:rPr>
        <w:t>14 a</w:t>
      </w:r>
      <w:r w:rsidR="00B32EBE" w:rsidRPr="00B32EBE">
        <w:rPr>
          <w:rFonts w:ascii="Arial" w:hAnsi="Arial" w:cs="Arial"/>
          <w:lang w:val="es-AR"/>
        </w:rPr>
        <w:t xml:space="preserve"> </w:t>
      </w:r>
      <w:r w:rsidR="0030335F">
        <w:rPr>
          <w:rFonts w:ascii="Arial" w:hAnsi="Arial" w:cs="Arial"/>
          <w:lang w:val="es-AR"/>
        </w:rPr>
        <w:t>19,</w:t>
      </w:r>
      <w:r w:rsidR="00B32EBE" w:rsidRPr="00B32EBE">
        <w:rPr>
          <w:rFonts w:ascii="Arial" w:hAnsi="Arial" w:cs="Arial"/>
          <w:lang w:val="es-AR"/>
        </w:rPr>
        <w:t xml:space="preserve"> </w:t>
      </w:r>
      <w:r w:rsidR="0030335F">
        <w:rPr>
          <w:rFonts w:ascii="Arial" w:hAnsi="Arial" w:cs="Arial"/>
          <w:lang w:val="es-AR"/>
        </w:rPr>
        <w:t>27</w:t>
      </w:r>
      <w:r w:rsidR="00B32EBE" w:rsidRPr="00B32EBE">
        <w:rPr>
          <w:rFonts w:ascii="Arial" w:hAnsi="Arial" w:cs="Arial"/>
          <w:lang w:val="es-AR"/>
        </w:rPr>
        <w:t xml:space="preserve">, </w:t>
      </w:r>
      <w:r w:rsidR="0030335F">
        <w:rPr>
          <w:rFonts w:ascii="Arial" w:hAnsi="Arial" w:cs="Arial"/>
          <w:lang w:val="es-AR"/>
        </w:rPr>
        <w:t>28</w:t>
      </w:r>
      <w:r w:rsidR="00B32EBE" w:rsidRPr="00B32EBE">
        <w:rPr>
          <w:rFonts w:ascii="Arial" w:hAnsi="Arial" w:cs="Arial"/>
          <w:lang w:val="es-AR"/>
        </w:rPr>
        <w:t xml:space="preserve">, </w:t>
      </w:r>
      <w:r w:rsidR="0030335F">
        <w:rPr>
          <w:rFonts w:ascii="Arial" w:hAnsi="Arial" w:cs="Arial"/>
          <w:lang w:val="es-AR"/>
        </w:rPr>
        <w:t>30</w:t>
      </w:r>
      <w:r w:rsidR="00B32EBE" w:rsidRPr="00B32EBE">
        <w:rPr>
          <w:rFonts w:ascii="Arial" w:hAnsi="Arial" w:cs="Arial"/>
          <w:lang w:val="es-AR"/>
        </w:rPr>
        <w:t xml:space="preserve">, </w:t>
      </w:r>
      <w:r w:rsidR="0030335F">
        <w:rPr>
          <w:rFonts w:ascii="Arial" w:hAnsi="Arial" w:cs="Arial"/>
          <w:lang w:val="es-AR"/>
        </w:rPr>
        <w:t>32 a 34,</w:t>
      </w:r>
      <w:r w:rsidR="00B32EBE" w:rsidRPr="00B32EBE">
        <w:rPr>
          <w:rFonts w:ascii="Arial" w:hAnsi="Arial" w:cs="Arial"/>
          <w:lang w:val="es-AR"/>
        </w:rPr>
        <w:t xml:space="preserve"> </w:t>
      </w:r>
      <w:r w:rsidR="0030335F">
        <w:rPr>
          <w:rFonts w:ascii="Arial" w:hAnsi="Arial" w:cs="Arial"/>
          <w:lang w:val="es-AR"/>
        </w:rPr>
        <w:t>50</w:t>
      </w:r>
      <w:r w:rsidR="00B32EBE" w:rsidRPr="00B32EBE">
        <w:rPr>
          <w:rFonts w:ascii="Arial" w:hAnsi="Arial" w:cs="Arial"/>
          <w:lang w:val="es-AR"/>
        </w:rPr>
        <w:t xml:space="preserve">, </w:t>
      </w:r>
      <w:r w:rsidR="0030335F">
        <w:rPr>
          <w:rFonts w:ascii="Arial" w:hAnsi="Arial" w:cs="Arial"/>
          <w:lang w:val="es-AR"/>
        </w:rPr>
        <w:t>52 a 55</w:t>
      </w:r>
      <w:r w:rsidR="00B32EBE" w:rsidRPr="00B32EBE">
        <w:rPr>
          <w:rFonts w:ascii="Arial" w:hAnsi="Arial" w:cs="Arial"/>
          <w:lang w:val="es-AR"/>
        </w:rPr>
        <w:t xml:space="preserve">, </w:t>
      </w:r>
      <w:r w:rsidR="0030335F">
        <w:rPr>
          <w:rFonts w:ascii="Arial" w:hAnsi="Arial" w:cs="Arial"/>
          <w:lang w:val="es-AR"/>
        </w:rPr>
        <w:t>57, 6</w:t>
      </w:r>
      <w:r w:rsidR="00B32EBE" w:rsidRPr="00B32EBE">
        <w:rPr>
          <w:rFonts w:ascii="Arial" w:hAnsi="Arial" w:cs="Arial"/>
          <w:lang w:val="es-AR"/>
        </w:rPr>
        <w:t>0</w:t>
      </w:r>
      <w:r w:rsidR="0030335F">
        <w:rPr>
          <w:rFonts w:ascii="Arial" w:hAnsi="Arial" w:cs="Arial"/>
          <w:lang w:val="es-AR"/>
        </w:rPr>
        <w:t xml:space="preserve"> a 62</w:t>
      </w:r>
      <w:r w:rsidR="00B32EBE" w:rsidRPr="00B32EBE">
        <w:rPr>
          <w:rFonts w:ascii="Arial" w:hAnsi="Arial" w:cs="Arial"/>
          <w:lang w:val="es-AR"/>
        </w:rPr>
        <w:t xml:space="preserve">, </w:t>
      </w:r>
      <w:r w:rsidR="0030335F">
        <w:rPr>
          <w:rFonts w:ascii="Arial" w:hAnsi="Arial" w:cs="Arial"/>
          <w:lang w:val="es-AR"/>
        </w:rPr>
        <w:t>65</w:t>
      </w:r>
      <w:r w:rsidR="00B32EBE" w:rsidRPr="00B32EBE">
        <w:rPr>
          <w:rFonts w:ascii="Arial" w:hAnsi="Arial" w:cs="Arial"/>
          <w:lang w:val="es-AR"/>
        </w:rPr>
        <w:t>, 7</w:t>
      </w:r>
      <w:r w:rsidR="0030335F">
        <w:rPr>
          <w:rFonts w:ascii="Arial" w:hAnsi="Arial" w:cs="Arial"/>
          <w:lang w:val="es-AR"/>
        </w:rPr>
        <w:t>3, 75, 76, 79, 81, 85 a 92, 96, 100, 103, 105 a 109, 111</w:t>
      </w:r>
      <w:r w:rsidR="00B32EBE" w:rsidRPr="00B32EBE">
        <w:rPr>
          <w:rFonts w:ascii="Arial" w:hAnsi="Arial" w:cs="Arial"/>
          <w:lang w:val="es-AR"/>
        </w:rPr>
        <w:t xml:space="preserve"> a favor de la empresa </w:t>
      </w:r>
      <w:r w:rsidR="0030335F">
        <w:rPr>
          <w:rFonts w:ascii="Arial" w:hAnsi="Arial" w:cs="Arial"/>
          <w:lang w:val="es-AR"/>
        </w:rPr>
        <w:t>KBYTE COMPUTACION</w:t>
      </w:r>
      <w:r w:rsidR="00B32EBE" w:rsidRPr="00B32EBE">
        <w:rPr>
          <w:rFonts w:ascii="Arial" w:hAnsi="Arial" w:cs="Arial"/>
          <w:lang w:val="es-AR"/>
        </w:rPr>
        <w:t xml:space="preserve">;  de los renglones </w:t>
      </w:r>
      <w:r w:rsidR="00527BFC">
        <w:rPr>
          <w:rFonts w:ascii="Arial" w:hAnsi="Arial" w:cs="Arial"/>
          <w:lang w:val="es-AR"/>
        </w:rPr>
        <w:t>2 (</w:t>
      </w:r>
      <w:proofErr w:type="spellStart"/>
      <w:r w:rsidR="00527BFC">
        <w:rPr>
          <w:rFonts w:ascii="Arial" w:hAnsi="Arial" w:cs="Arial"/>
          <w:lang w:val="es-AR"/>
        </w:rPr>
        <w:t>Alt</w:t>
      </w:r>
      <w:proofErr w:type="spellEnd"/>
      <w:r w:rsidR="00527BFC">
        <w:rPr>
          <w:rFonts w:ascii="Arial" w:hAnsi="Arial" w:cs="Arial"/>
          <w:lang w:val="es-AR"/>
        </w:rPr>
        <w:t xml:space="preserve">.), 6 a 13, 25, 26, 35, 36, 38 a 45, 49, 51, 66, 68 a 71, 82, 83, 95, 98, 104, 110 y 112 </w:t>
      </w:r>
      <w:r w:rsidR="00B32EBE" w:rsidRPr="00B32EBE">
        <w:rPr>
          <w:rFonts w:ascii="Arial" w:hAnsi="Arial" w:cs="Arial"/>
          <w:lang w:val="es-AR"/>
        </w:rPr>
        <w:t xml:space="preserve">a favor de la firma </w:t>
      </w:r>
      <w:r w:rsidR="00527BFC">
        <w:rPr>
          <w:rFonts w:ascii="Arial" w:hAnsi="Arial" w:cs="Arial"/>
          <w:lang w:val="es-AR"/>
        </w:rPr>
        <w:t>TYLFOT de TUMINI y LUQUE</w:t>
      </w:r>
      <w:r w:rsidR="00B32EBE" w:rsidRPr="00B32EBE">
        <w:rPr>
          <w:rFonts w:ascii="Arial" w:hAnsi="Arial" w:cs="Arial"/>
          <w:lang w:val="es-AR"/>
        </w:rPr>
        <w:t xml:space="preserve">; </w:t>
      </w:r>
    </w:p>
    <w:p w:rsidR="00B32EBE" w:rsidRPr="00B32EBE" w:rsidRDefault="00B32EBE" w:rsidP="00B32EBE">
      <w:pPr>
        <w:pStyle w:val="Textoindependiente"/>
        <w:ind w:firstLine="851"/>
        <w:rPr>
          <w:rFonts w:ascii="Arial" w:hAnsi="Arial" w:cs="Arial"/>
          <w:lang w:val="es-AR"/>
        </w:rPr>
      </w:pPr>
    </w:p>
    <w:p w:rsidR="00B32EBE" w:rsidRPr="00B32EBE" w:rsidRDefault="00527BFC" w:rsidP="00B32EBE">
      <w:pPr>
        <w:pStyle w:val="Textoindependiente"/>
        <w:ind w:firstLine="851"/>
        <w:rPr>
          <w:rFonts w:ascii="Arial" w:hAnsi="Arial" w:cs="Arial"/>
          <w:lang w:val="es-AR"/>
        </w:rPr>
      </w:pPr>
      <w:r>
        <w:rPr>
          <w:rFonts w:ascii="Arial" w:hAnsi="Arial" w:cs="Arial"/>
          <w:lang w:val="es-AR"/>
        </w:rPr>
        <w:t>Que el artículo 147</w:t>
      </w:r>
      <w:r w:rsidR="00B32EBE" w:rsidRPr="00B32EBE">
        <w:rPr>
          <w:rFonts w:ascii="Arial" w:hAnsi="Arial" w:cs="Arial"/>
          <w:lang w:val="es-AR"/>
        </w:rPr>
        <w:t xml:space="preserve">º, inciso </w:t>
      </w:r>
      <w:r>
        <w:rPr>
          <w:rFonts w:ascii="Arial" w:hAnsi="Arial" w:cs="Arial"/>
          <w:lang w:val="es-AR"/>
        </w:rPr>
        <w:t xml:space="preserve">i) </w:t>
      </w:r>
      <w:r w:rsidR="00B32EBE" w:rsidRPr="00B32EBE">
        <w:rPr>
          <w:rFonts w:ascii="Arial" w:hAnsi="Arial" w:cs="Arial"/>
          <w:lang w:val="es-AR"/>
        </w:rPr>
        <w:t xml:space="preserve">del Decreto 893/2012 - Régimen de Contrataciones de la Administración Nacional – establece que </w:t>
      </w:r>
      <w:r>
        <w:rPr>
          <w:rFonts w:ascii="Arial" w:hAnsi="Arial" w:cs="Arial"/>
          <w:lang w:val="es-AR"/>
        </w:rPr>
        <w:t>la autoridad competente deberá pronunciarse sobre el procedimiento elegido y las bases que rigieron el llamado;</w:t>
      </w: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       </w:t>
      </w: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 xml:space="preserve">Que el artículo </w:t>
      </w:r>
      <w:r w:rsidR="00527BFC">
        <w:rPr>
          <w:rFonts w:ascii="Arial" w:hAnsi="Arial" w:cs="Arial"/>
          <w:lang w:val="es-AR"/>
        </w:rPr>
        <w:t>11</w:t>
      </w:r>
      <w:r w:rsidRPr="00B32EBE">
        <w:rPr>
          <w:rFonts w:ascii="Arial" w:hAnsi="Arial" w:cs="Arial"/>
          <w:lang w:val="es-AR"/>
        </w:rPr>
        <w:t xml:space="preserve"> del Decreto </w:t>
      </w:r>
      <w:r w:rsidR="00527BFC">
        <w:rPr>
          <w:rFonts w:ascii="Arial" w:hAnsi="Arial" w:cs="Arial"/>
          <w:lang w:val="es-AR"/>
        </w:rPr>
        <w:t>1023</w:t>
      </w:r>
      <w:r w:rsidRPr="00B32EBE">
        <w:rPr>
          <w:rFonts w:ascii="Arial" w:hAnsi="Arial" w:cs="Arial"/>
          <w:lang w:val="es-AR"/>
        </w:rPr>
        <w:t>/20</w:t>
      </w:r>
      <w:r w:rsidR="00527BFC">
        <w:rPr>
          <w:rFonts w:ascii="Arial" w:hAnsi="Arial" w:cs="Arial"/>
          <w:lang w:val="es-AR"/>
        </w:rPr>
        <w:t>0</w:t>
      </w:r>
      <w:r w:rsidRPr="00B32EBE">
        <w:rPr>
          <w:rFonts w:ascii="Arial" w:hAnsi="Arial" w:cs="Arial"/>
          <w:lang w:val="es-AR"/>
        </w:rPr>
        <w:t xml:space="preserve">1 establece que </w:t>
      </w:r>
      <w:r w:rsidR="00527BFC">
        <w:rPr>
          <w:rFonts w:ascii="Arial" w:hAnsi="Arial" w:cs="Arial"/>
          <w:lang w:val="es-AR"/>
        </w:rPr>
        <w:t xml:space="preserve">debe dictarse </w:t>
      </w:r>
      <w:r w:rsidRPr="00B32EBE">
        <w:rPr>
          <w:rFonts w:ascii="Arial" w:hAnsi="Arial" w:cs="Arial"/>
          <w:lang w:val="es-AR"/>
        </w:rPr>
        <w:t xml:space="preserve">el </w:t>
      </w:r>
      <w:r w:rsidR="00527BFC">
        <w:rPr>
          <w:rFonts w:ascii="Arial" w:hAnsi="Arial" w:cs="Arial"/>
          <w:lang w:val="es-AR"/>
        </w:rPr>
        <w:t xml:space="preserve">pertinente </w:t>
      </w:r>
      <w:r w:rsidRPr="00B32EBE">
        <w:rPr>
          <w:rFonts w:ascii="Arial" w:hAnsi="Arial" w:cs="Arial"/>
          <w:lang w:val="es-AR"/>
        </w:rPr>
        <w:t xml:space="preserve">acto administrativo </w:t>
      </w:r>
      <w:r w:rsidR="00527BFC">
        <w:rPr>
          <w:rFonts w:ascii="Arial" w:hAnsi="Arial" w:cs="Arial"/>
          <w:lang w:val="es-AR"/>
        </w:rPr>
        <w:t>de aprobación del procedimiento y adjudicación</w:t>
      </w:r>
      <w:r w:rsidRPr="00B32EBE">
        <w:rPr>
          <w:rFonts w:ascii="Arial" w:hAnsi="Arial" w:cs="Arial"/>
          <w:lang w:val="es-AR"/>
        </w:rPr>
        <w:t>;</w:t>
      </w:r>
    </w:p>
    <w:p w:rsidR="0082431A" w:rsidRPr="0082431A" w:rsidRDefault="00B71A7A" w:rsidP="00527BFC">
      <w:pPr>
        <w:pStyle w:val="Textoindependiente"/>
        <w:rPr>
          <w:rFonts w:ascii="Arial" w:hAnsi="Arial"/>
          <w:b/>
        </w:rPr>
      </w:pPr>
      <w:r w:rsidRPr="00EF4A6B">
        <w:rPr>
          <w:rFonts w:ascii="Arial" w:hAnsi="Arial" w:cs="Arial"/>
        </w:rPr>
        <w:t xml:space="preserve">     </w:t>
      </w:r>
      <w:r w:rsidR="0082431A">
        <w:rPr>
          <w:rFonts w:ascii="Arial" w:hAnsi="Arial"/>
        </w:rPr>
        <w:t xml:space="preserve">              </w:t>
      </w:r>
    </w:p>
    <w:p w:rsidR="00B71A7A" w:rsidRPr="00EF4A6B" w:rsidRDefault="00B71A7A" w:rsidP="00BE3EFD">
      <w:pPr>
        <w:jc w:val="both"/>
        <w:rPr>
          <w:rFonts w:ascii="Arial" w:hAnsi="Arial" w:cs="Arial"/>
          <w:b/>
          <w:bCs/>
        </w:rPr>
      </w:pPr>
      <w:r w:rsidRPr="00EF4A6B">
        <w:rPr>
          <w:rFonts w:ascii="Arial" w:hAnsi="Arial" w:cs="Arial"/>
          <w:b/>
          <w:bCs/>
        </w:rPr>
        <w:t>POR ELLO</w:t>
      </w:r>
      <w:r w:rsidR="00BE3EFD">
        <w:rPr>
          <w:rFonts w:ascii="Arial" w:hAnsi="Arial" w:cs="Arial"/>
          <w:b/>
          <w:bCs/>
        </w:rPr>
        <w:t>,</w:t>
      </w:r>
    </w:p>
    <w:p w:rsidR="00BE3EFD" w:rsidRDefault="00BE3EFD" w:rsidP="00BE3EFD">
      <w:pPr>
        <w:jc w:val="both"/>
        <w:rPr>
          <w:rFonts w:ascii="Arial" w:hAnsi="Arial" w:cs="Arial"/>
        </w:rPr>
      </w:pPr>
      <w:r>
        <w:rPr>
          <w:rFonts w:ascii="Arial" w:hAnsi="Arial" w:cs="Arial"/>
        </w:rPr>
        <w:t xml:space="preserve">    </w:t>
      </w:r>
    </w:p>
    <w:p w:rsidR="00BE3EFD" w:rsidRPr="00BE3EFD" w:rsidRDefault="00BE3EFD" w:rsidP="004F54A2">
      <w:pPr>
        <w:ind w:firstLine="708"/>
        <w:jc w:val="both"/>
        <w:rPr>
          <w:rFonts w:ascii="Arial" w:hAnsi="Arial" w:cs="Arial"/>
        </w:rPr>
      </w:pPr>
      <w:r>
        <w:rPr>
          <w:rFonts w:ascii="Arial" w:hAnsi="Arial"/>
          <w:b/>
        </w:rPr>
        <w:t>El Director Decano del Departamento de Ciencias e Ingeniería de la Computación</w:t>
      </w:r>
      <w:r w:rsidRPr="00BE3EFD">
        <w:rPr>
          <w:rFonts w:ascii="Arial" w:hAnsi="Arial"/>
          <w:b/>
        </w:rPr>
        <w:t xml:space="preserve"> </w:t>
      </w:r>
    </w:p>
    <w:p w:rsidR="00BE3EFD" w:rsidRDefault="00BE3EFD" w:rsidP="00BE3EFD">
      <w:pPr>
        <w:ind w:firstLine="1418"/>
        <w:jc w:val="both"/>
        <w:rPr>
          <w:rFonts w:ascii="Arial" w:hAnsi="Arial"/>
          <w:b/>
        </w:rPr>
      </w:pPr>
    </w:p>
    <w:p w:rsidR="00BE3EFD" w:rsidRDefault="00BE3EFD" w:rsidP="00BE3EFD">
      <w:pPr>
        <w:jc w:val="center"/>
        <w:rPr>
          <w:rFonts w:ascii="Arial" w:hAnsi="Arial"/>
        </w:rPr>
      </w:pPr>
      <w:r>
        <w:rPr>
          <w:rFonts w:ascii="Arial" w:hAnsi="Arial"/>
          <w:b/>
        </w:rPr>
        <w:t>R E S U E L V E :</w:t>
      </w:r>
    </w:p>
    <w:p w:rsidR="00B71A7A" w:rsidRPr="00EF4A6B" w:rsidRDefault="00B71A7A">
      <w:pPr>
        <w:rPr>
          <w:rFonts w:ascii="Arial" w:hAnsi="Arial" w:cs="Arial"/>
        </w:rPr>
      </w:pPr>
    </w:p>
    <w:p w:rsidR="00B32EBE" w:rsidRDefault="00BE3EFD" w:rsidP="00B32EBE">
      <w:pPr>
        <w:jc w:val="both"/>
        <w:rPr>
          <w:rFonts w:ascii="Arial" w:hAnsi="Arial"/>
          <w:lang w:val="es-AR"/>
        </w:rPr>
      </w:pPr>
      <w:r>
        <w:rPr>
          <w:rFonts w:ascii="Arial" w:hAnsi="Arial"/>
          <w:b/>
        </w:rPr>
        <w:t>Art. 1</w:t>
      </w:r>
      <w:r>
        <w:rPr>
          <w:rFonts w:ascii="Arial" w:hAnsi="Arial"/>
          <w:b/>
        </w:rPr>
        <w:sym w:font="Symbol" w:char="F0B0"/>
      </w:r>
      <w:r>
        <w:rPr>
          <w:rFonts w:ascii="Arial" w:hAnsi="Arial"/>
          <w:b/>
        </w:rPr>
        <w:t>).-</w:t>
      </w:r>
      <w:r>
        <w:rPr>
          <w:rFonts w:ascii="Arial" w:hAnsi="Arial"/>
        </w:rPr>
        <w:t xml:space="preserve"> </w:t>
      </w:r>
      <w:r w:rsidR="00527BFC">
        <w:rPr>
          <w:rFonts w:ascii="Arial" w:hAnsi="Arial"/>
        </w:rPr>
        <w:t>Convalidar el proceso de selección utilizado para la tramitación de la adquisición de insumos informáticos para distintas dependencias de la Universidad, encuadrándolo como Contratación Directa, en el marco del artículo 25, inciso d), apartado</w:t>
      </w:r>
      <w:r w:rsidR="003939F2">
        <w:rPr>
          <w:rFonts w:ascii="Arial" w:hAnsi="Arial"/>
        </w:rPr>
        <w:t xml:space="preserve"> l) del Decreto 1023/2001.-</w:t>
      </w:r>
    </w:p>
    <w:p w:rsidR="00B32EBE" w:rsidRDefault="00B32EBE" w:rsidP="00B32EBE">
      <w:pPr>
        <w:jc w:val="both"/>
        <w:rPr>
          <w:rFonts w:ascii="Arial" w:hAnsi="Arial"/>
          <w:b/>
        </w:rPr>
      </w:pPr>
    </w:p>
    <w:p w:rsidR="00B32EBE" w:rsidRDefault="00B32EBE" w:rsidP="00B32EBE">
      <w:pPr>
        <w:jc w:val="both"/>
        <w:rPr>
          <w:rFonts w:ascii="Arial" w:hAnsi="Arial"/>
          <w:lang w:val="es-AR"/>
        </w:rPr>
      </w:pPr>
      <w:r>
        <w:rPr>
          <w:rFonts w:ascii="Arial" w:hAnsi="Arial"/>
          <w:b/>
        </w:rPr>
        <w:t>Art. 2</w:t>
      </w:r>
      <w:r>
        <w:rPr>
          <w:rFonts w:ascii="Arial" w:hAnsi="Arial"/>
          <w:b/>
        </w:rPr>
        <w:sym w:font="Symbol" w:char="F0B0"/>
      </w:r>
      <w:r>
        <w:rPr>
          <w:rFonts w:ascii="Arial" w:hAnsi="Arial"/>
          <w:b/>
        </w:rPr>
        <w:t>).-</w:t>
      </w:r>
      <w:r>
        <w:rPr>
          <w:rFonts w:ascii="Arial" w:hAnsi="Arial"/>
        </w:rPr>
        <w:t xml:space="preserve"> </w:t>
      </w:r>
      <w:r w:rsidR="003939F2">
        <w:rPr>
          <w:rFonts w:ascii="Arial" w:hAnsi="Arial"/>
          <w:lang w:val="es-AR"/>
        </w:rPr>
        <w:t xml:space="preserve">Convalidar lo actuado por el Ing. Alejandro </w:t>
      </w:r>
      <w:proofErr w:type="spellStart"/>
      <w:r w:rsidR="003939F2">
        <w:rPr>
          <w:rFonts w:ascii="Arial" w:hAnsi="Arial"/>
          <w:lang w:val="es-AR"/>
        </w:rPr>
        <w:t>Lemarchand</w:t>
      </w:r>
      <w:proofErr w:type="spellEnd"/>
      <w:r w:rsidR="003939F2">
        <w:rPr>
          <w:rFonts w:ascii="Arial" w:hAnsi="Arial"/>
          <w:lang w:val="es-AR"/>
        </w:rPr>
        <w:t xml:space="preserve">, Mauricio </w:t>
      </w:r>
      <w:proofErr w:type="spellStart"/>
      <w:r w:rsidR="003939F2">
        <w:rPr>
          <w:rFonts w:ascii="Arial" w:hAnsi="Arial"/>
          <w:lang w:val="es-AR"/>
        </w:rPr>
        <w:t>Peyrot</w:t>
      </w:r>
      <w:proofErr w:type="spellEnd"/>
      <w:r w:rsidR="003939F2">
        <w:rPr>
          <w:rFonts w:ascii="Arial" w:hAnsi="Arial"/>
          <w:lang w:val="es-AR"/>
        </w:rPr>
        <w:t xml:space="preserve"> y Rosana </w:t>
      </w:r>
      <w:proofErr w:type="spellStart"/>
      <w:r w:rsidR="003939F2">
        <w:rPr>
          <w:rFonts w:ascii="Arial" w:hAnsi="Arial"/>
          <w:lang w:val="es-AR"/>
        </w:rPr>
        <w:t>Scalezi</w:t>
      </w:r>
      <w:proofErr w:type="spellEnd"/>
      <w:r w:rsidR="003939F2">
        <w:rPr>
          <w:rFonts w:ascii="Arial" w:hAnsi="Arial"/>
          <w:lang w:val="es-AR"/>
        </w:rPr>
        <w:t>, quienes intervinieron en carácter de Comisión Evaluadora de la presente Compra Directa.-</w:t>
      </w:r>
    </w:p>
    <w:p w:rsidR="003939F2" w:rsidRDefault="003939F2" w:rsidP="00B32EBE">
      <w:pPr>
        <w:jc w:val="both"/>
        <w:rPr>
          <w:rFonts w:ascii="Arial" w:hAnsi="Arial"/>
          <w:lang w:val="es-AR"/>
        </w:rPr>
      </w:pPr>
    </w:p>
    <w:p w:rsidR="00077934" w:rsidRDefault="003939F2" w:rsidP="00B32EBE">
      <w:pPr>
        <w:jc w:val="both"/>
        <w:rPr>
          <w:rFonts w:ascii="Arial" w:hAnsi="Arial"/>
        </w:rPr>
      </w:pPr>
      <w:r>
        <w:rPr>
          <w:rFonts w:ascii="Arial" w:hAnsi="Arial"/>
          <w:b/>
        </w:rPr>
        <w:t>Art. 3</w:t>
      </w:r>
      <w:r>
        <w:rPr>
          <w:rFonts w:ascii="Arial" w:hAnsi="Arial"/>
          <w:b/>
        </w:rPr>
        <w:sym w:font="Symbol" w:char="F0B0"/>
      </w:r>
      <w:r>
        <w:rPr>
          <w:rFonts w:ascii="Arial" w:hAnsi="Arial"/>
          <w:b/>
        </w:rPr>
        <w:t xml:space="preserve">).- </w:t>
      </w:r>
      <w:r>
        <w:rPr>
          <w:rFonts w:ascii="Arial" w:hAnsi="Arial"/>
        </w:rPr>
        <w:t xml:space="preserve">Aprobar la adjudicación por la suma total de SEIS MIL CUATROCIENTOS CINCUENTA Y SIETE con 73/100 ($ 6.457,73), según el detalle que se adjunta, con el fin de adquirir insumos informáticos para distintas dependencias de la Universidad, en </w:t>
      </w:r>
    </w:p>
    <w:p w:rsidR="00077934" w:rsidRPr="00077934" w:rsidRDefault="00077934" w:rsidP="00B32EBE">
      <w:pPr>
        <w:jc w:val="both"/>
        <w:rPr>
          <w:rFonts w:ascii="Arial" w:hAnsi="Arial"/>
          <w:b/>
        </w:rPr>
      </w:pPr>
      <w:r w:rsidRPr="00077934">
        <w:rPr>
          <w:rFonts w:ascii="Arial" w:hAnsi="Arial"/>
          <w:b/>
        </w:rPr>
        <w:lastRenderedPageBreak/>
        <w:t>///DCIC-028/12</w:t>
      </w:r>
    </w:p>
    <w:p w:rsidR="00077934" w:rsidRDefault="00077934" w:rsidP="00B32EBE">
      <w:pPr>
        <w:jc w:val="both"/>
        <w:rPr>
          <w:rFonts w:ascii="Arial" w:hAnsi="Arial"/>
        </w:rPr>
      </w:pPr>
    </w:p>
    <w:p w:rsidR="00B32EBE" w:rsidRDefault="003939F2" w:rsidP="00B32EBE">
      <w:pPr>
        <w:jc w:val="both"/>
        <w:rPr>
          <w:rFonts w:ascii="Arial" w:hAnsi="Arial"/>
        </w:rPr>
      </w:pPr>
      <w:r>
        <w:rPr>
          <w:rFonts w:ascii="Arial" w:hAnsi="Arial"/>
        </w:rPr>
        <w:t>un todo de acuerdo en lo establecido en el artículo 25, inc. d), apartado l) del Dto. 1023/2001.-</w:t>
      </w:r>
    </w:p>
    <w:p w:rsidR="003939F2" w:rsidRDefault="003939F2" w:rsidP="00B32EBE">
      <w:pPr>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tblPr>
      <w:tblGrid>
        <w:gridCol w:w="3510"/>
        <w:gridCol w:w="1777"/>
        <w:gridCol w:w="1625"/>
      </w:tblGrid>
      <w:tr w:rsidR="003939F2" w:rsidRPr="00C13610" w:rsidTr="00C13610">
        <w:tc>
          <w:tcPr>
            <w:tcW w:w="3510" w:type="dxa"/>
            <w:shd w:val="clear" w:color="auto" w:fill="auto"/>
          </w:tcPr>
          <w:p w:rsidR="003939F2" w:rsidRPr="00C13610" w:rsidRDefault="003939F2" w:rsidP="00C13610">
            <w:pPr>
              <w:jc w:val="both"/>
              <w:rPr>
                <w:rFonts w:ascii="Arial" w:hAnsi="Arial"/>
                <w:b/>
                <w:i/>
                <w:lang w:val="es-AR"/>
              </w:rPr>
            </w:pPr>
            <w:r w:rsidRPr="00C13610">
              <w:rPr>
                <w:rFonts w:ascii="Arial" w:hAnsi="Arial"/>
                <w:b/>
                <w:i/>
                <w:lang w:val="es-AR"/>
              </w:rPr>
              <w:t>FIRMA ADJUDICATARIA</w:t>
            </w:r>
          </w:p>
        </w:tc>
        <w:tc>
          <w:tcPr>
            <w:tcW w:w="1777" w:type="dxa"/>
            <w:shd w:val="clear" w:color="auto" w:fill="auto"/>
          </w:tcPr>
          <w:p w:rsidR="003939F2" w:rsidRPr="00C13610" w:rsidRDefault="003939F2" w:rsidP="00C13610">
            <w:pPr>
              <w:jc w:val="both"/>
              <w:rPr>
                <w:rFonts w:ascii="Arial" w:hAnsi="Arial"/>
                <w:b/>
                <w:i/>
                <w:lang w:val="es-AR"/>
              </w:rPr>
            </w:pPr>
            <w:r w:rsidRPr="00C13610">
              <w:rPr>
                <w:rFonts w:ascii="Arial" w:hAnsi="Arial"/>
                <w:b/>
                <w:i/>
                <w:lang w:val="es-AR"/>
              </w:rPr>
              <w:t>RENGLONES</w:t>
            </w:r>
          </w:p>
        </w:tc>
        <w:tc>
          <w:tcPr>
            <w:tcW w:w="1625" w:type="dxa"/>
            <w:shd w:val="clear" w:color="auto" w:fill="auto"/>
          </w:tcPr>
          <w:p w:rsidR="003939F2" w:rsidRPr="00C13610" w:rsidRDefault="003939F2" w:rsidP="00C13610">
            <w:pPr>
              <w:jc w:val="both"/>
              <w:rPr>
                <w:rFonts w:ascii="Arial" w:hAnsi="Arial"/>
                <w:b/>
                <w:i/>
                <w:lang w:val="es-AR"/>
              </w:rPr>
            </w:pPr>
            <w:r w:rsidRPr="00C13610">
              <w:rPr>
                <w:rFonts w:ascii="Arial" w:hAnsi="Arial"/>
                <w:b/>
                <w:i/>
                <w:lang w:val="es-AR"/>
              </w:rPr>
              <w:t>IMPORTE $</w:t>
            </w:r>
          </w:p>
        </w:tc>
      </w:tr>
      <w:tr w:rsidR="003939F2" w:rsidRPr="00C13610" w:rsidTr="00C13610">
        <w:tc>
          <w:tcPr>
            <w:tcW w:w="3510" w:type="dxa"/>
            <w:shd w:val="clear" w:color="auto" w:fill="auto"/>
          </w:tcPr>
          <w:p w:rsidR="003939F2" w:rsidRPr="00C13610" w:rsidRDefault="003939F2" w:rsidP="00C13610">
            <w:pPr>
              <w:jc w:val="both"/>
              <w:rPr>
                <w:rFonts w:ascii="Arial" w:hAnsi="Arial"/>
                <w:lang w:val="es-AR"/>
              </w:rPr>
            </w:pPr>
            <w:r w:rsidRPr="00C13610">
              <w:rPr>
                <w:rFonts w:ascii="Arial" w:hAnsi="Arial"/>
                <w:lang w:val="es-AR"/>
              </w:rPr>
              <w:t>KBYTE COMPUTACION</w:t>
            </w:r>
          </w:p>
        </w:tc>
        <w:tc>
          <w:tcPr>
            <w:tcW w:w="1777" w:type="dxa"/>
            <w:shd w:val="clear" w:color="auto" w:fill="auto"/>
          </w:tcPr>
          <w:p w:rsidR="003939F2" w:rsidRPr="00C13610" w:rsidRDefault="003939F2" w:rsidP="00C13610">
            <w:pPr>
              <w:jc w:val="right"/>
              <w:rPr>
                <w:rFonts w:ascii="Arial" w:hAnsi="Arial"/>
                <w:lang w:val="es-AR"/>
              </w:rPr>
            </w:pPr>
            <w:r w:rsidRPr="00C13610">
              <w:rPr>
                <w:rFonts w:ascii="Arial" w:hAnsi="Arial"/>
                <w:lang w:val="es-AR"/>
              </w:rPr>
              <w:t>65</w:t>
            </w:r>
          </w:p>
        </w:tc>
        <w:tc>
          <w:tcPr>
            <w:tcW w:w="1625" w:type="dxa"/>
            <w:shd w:val="clear" w:color="auto" w:fill="auto"/>
          </w:tcPr>
          <w:p w:rsidR="003939F2" w:rsidRPr="00C13610" w:rsidRDefault="003939F2" w:rsidP="00C13610">
            <w:pPr>
              <w:jc w:val="right"/>
              <w:rPr>
                <w:rFonts w:ascii="Arial" w:hAnsi="Arial"/>
                <w:lang w:val="es-AR"/>
              </w:rPr>
            </w:pPr>
            <w:r w:rsidRPr="00C13610">
              <w:rPr>
                <w:rFonts w:ascii="Arial" w:hAnsi="Arial"/>
                <w:lang w:val="es-AR"/>
              </w:rPr>
              <w:t>2.728,99</w:t>
            </w:r>
          </w:p>
        </w:tc>
      </w:tr>
      <w:tr w:rsidR="003939F2" w:rsidRPr="00C13610" w:rsidTr="00C13610">
        <w:tc>
          <w:tcPr>
            <w:tcW w:w="3510" w:type="dxa"/>
            <w:shd w:val="clear" w:color="auto" w:fill="auto"/>
          </w:tcPr>
          <w:p w:rsidR="003939F2" w:rsidRPr="00C13610" w:rsidRDefault="003939F2" w:rsidP="00C13610">
            <w:pPr>
              <w:jc w:val="both"/>
              <w:rPr>
                <w:rFonts w:ascii="Arial" w:hAnsi="Arial"/>
                <w:lang w:val="es-AR"/>
              </w:rPr>
            </w:pPr>
            <w:r w:rsidRPr="00C13610">
              <w:rPr>
                <w:rFonts w:ascii="Arial" w:hAnsi="Arial"/>
                <w:lang w:val="es-AR"/>
              </w:rPr>
              <w:t>GALLEGO JOSE MARIA</w:t>
            </w:r>
          </w:p>
        </w:tc>
        <w:tc>
          <w:tcPr>
            <w:tcW w:w="1777" w:type="dxa"/>
            <w:shd w:val="clear" w:color="auto" w:fill="auto"/>
          </w:tcPr>
          <w:p w:rsidR="003939F2" w:rsidRPr="00C13610" w:rsidRDefault="003939F2" w:rsidP="00C13610">
            <w:pPr>
              <w:jc w:val="right"/>
              <w:rPr>
                <w:rFonts w:ascii="Arial" w:hAnsi="Arial"/>
                <w:lang w:val="es-AR"/>
              </w:rPr>
            </w:pPr>
            <w:r w:rsidRPr="00C13610">
              <w:rPr>
                <w:rFonts w:ascii="Arial" w:hAnsi="Arial"/>
                <w:lang w:val="es-AR"/>
              </w:rPr>
              <w:t>67</w:t>
            </w:r>
          </w:p>
        </w:tc>
        <w:tc>
          <w:tcPr>
            <w:tcW w:w="1625" w:type="dxa"/>
            <w:shd w:val="clear" w:color="auto" w:fill="auto"/>
          </w:tcPr>
          <w:p w:rsidR="003939F2" w:rsidRPr="00C13610" w:rsidRDefault="003939F2" w:rsidP="00C13610">
            <w:pPr>
              <w:jc w:val="right"/>
              <w:rPr>
                <w:rFonts w:ascii="Arial" w:hAnsi="Arial"/>
                <w:lang w:val="es-AR"/>
              </w:rPr>
            </w:pPr>
            <w:r w:rsidRPr="00C13610">
              <w:rPr>
                <w:rFonts w:ascii="Arial" w:hAnsi="Arial"/>
                <w:lang w:val="es-AR"/>
              </w:rPr>
              <w:t>1.258,41</w:t>
            </w:r>
          </w:p>
        </w:tc>
      </w:tr>
      <w:tr w:rsidR="003939F2" w:rsidRPr="00C13610" w:rsidTr="00C13610">
        <w:tc>
          <w:tcPr>
            <w:tcW w:w="3510" w:type="dxa"/>
            <w:shd w:val="clear" w:color="auto" w:fill="auto"/>
          </w:tcPr>
          <w:p w:rsidR="003939F2" w:rsidRPr="00C13610" w:rsidRDefault="003939F2" w:rsidP="00C13610">
            <w:pPr>
              <w:jc w:val="both"/>
              <w:rPr>
                <w:rFonts w:ascii="Arial" w:hAnsi="Arial"/>
                <w:lang w:val="es-AR"/>
              </w:rPr>
            </w:pPr>
            <w:r w:rsidRPr="00C13610">
              <w:rPr>
                <w:rFonts w:ascii="Arial" w:hAnsi="Arial"/>
                <w:lang w:val="es-AR"/>
              </w:rPr>
              <w:t>TYLFOT de TUMINI Y LUQUE</w:t>
            </w:r>
          </w:p>
        </w:tc>
        <w:tc>
          <w:tcPr>
            <w:tcW w:w="1777" w:type="dxa"/>
            <w:shd w:val="clear" w:color="auto" w:fill="auto"/>
          </w:tcPr>
          <w:p w:rsidR="003939F2" w:rsidRPr="00C13610" w:rsidRDefault="003939F2" w:rsidP="00C13610">
            <w:pPr>
              <w:jc w:val="right"/>
              <w:rPr>
                <w:rFonts w:ascii="Arial" w:hAnsi="Arial"/>
                <w:lang w:val="es-AR"/>
              </w:rPr>
            </w:pPr>
            <w:r w:rsidRPr="00C13610">
              <w:rPr>
                <w:rFonts w:ascii="Arial" w:hAnsi="Arial"/>
                <w:lang w:val="es-AR"/>
              </w:rPr>
              <w:t>66</w:t>
            </w:r>
          </w:p>
        </w:tc>
        <w:tc>
          <w:tcPr>
            <w:tcW w:w="1625" w:type="dxa"/>
            <w:shd w:val="clear" w:color="auto" w:fill="auto"/>
          </w:tcPr>
          <w:p w:rsidR="003939F2" w:rsidRPr="00C13610" w:rsidRDefault="003939F2" w:rsidP="00C13610">
            <w:pPr>
              <w:jc w:val="right"/>
              <w:rPr>
                <w:rFonts w:ascii="Arial" w:hAnsi="Arial"/>
                <w:lang w:val="es-AR"/>
              </w:rPr>
            </w:pPr>
            <w:r w:rsidRPr="00C13610">
              <w:rPr>
                <w:rFonts w:ascii="Arial" w:hAnsi="Arial"/>
                <w:lang w:val="es-AR"/>
              </w:rPr>
              <w:t>2.470,33</w:t>
            </w:r>
          </w:p>
        </w:tc>
      </w:tr>
      <w:tr w:rsidR="003939F2" w:rsidRPr="00C13610" w:rsidTr="00C13610">
        <w:tc>
          <w:tcPr>
            <w:tcW w:w="5287" w:type="dxa"/>
            <w:gridSpan w:val="2"/>
            <w:shd w:val="clear" w:color="auto" w:fill="auto"/>
          </w:tcPr>
          <w:p w:rsidR="003939F2" w:rsidRPr="00C13610" w:rsidRDefault="003939F2" w:rsidP="00C13610">
            <w:pPr>
              <w:jc w:val="right"/>
              <w:rPr>
                <w:rFonts w:ascii="Arial" w:hAnsi="Arial"/>
                <w:b/>
                <w:i/>
                <w:lang w:val="es-AR"/>
              </w:rPr>
            </w:pPr>
            <w:r w:rsidRPr="00C13610">
              <w:rPr>
                <w:rFonts w:ascii="Arial" w:hAnsi="Arial"/>
                <w:b/>
                <w:i/>
                <w:lang w:val="es-AR"/>
              </w:rPr>
              <w:t>TOTAL ADJUDICADO</w:t>
            </w:r>
          </w:p>
        </w:tc>
        <w:tc>
          <w:tcPr>
            <w:tcW w:w="1625" w:type="dxa"/>
            <w:shd w:val="clear" w:color="auto" w:fill="auto"/>
          </w:tcPr>
          <w:p w:rsidR="003939F2" w:rsidRPr="00C13610" w:rsidRDefault="003939F2" w:rsidP="00C13610">
            <w:pPr>
              <w:jc w:val="right"/>
              <w:rPr>
                <w:rFonts w:ascii="Arial" w:hAnsi="Arial"/>
                <w:lang w:val="es-AR"/>
              </w:rPr>
            </w:pPr>
            <w:r w:rsidRPr="00C13610">
              <w:rPr>
                <w:rFonts w:ascii="Arial" w:hAnsi="Arial"/>
                <w:lang w:val="es-AR"/>
              </w:rPr>
              <w:t>6.457,73</w:t>
            </w:r>
          </w:p>
        </w:tc>
      </w:tr>
    </w:tbl>
    <w:p w:rsidR="003939F2" w:rsidRPr="003939F2" w:rsidRDefault="003939F2" w:rsidP="00B32EBE">
      <w:pPr>
        <w:jc w:val="both"/>
        <w:rPr>
          <w:rFonts w:ascii="Arial" w:hAnsi="Arial"/>
          <w:lang w:val="es-AR"/>
        </w:rPr>
      </w:pPr>
    </w:p>
    <w:p w:rsidR="00B32EBE" w:rsidRPr="00B32EBE" w:rsidRDefault="00B71A7A" w:rsidP="00B32EBE">
      <w:pPr>
        <w:jc w:val="both"/>
        <w:rPr>
          <w:rFonts w:ascii="Arial" w:hAnsi="Arial" w:cs="Arial"/>
          <w:lang w:val="es-AR"/>
        </w:rPr>
      </w:pPr>
      <w:r>
        <w:rPr>
          <w:rFonts w:ascii="Arial" w:hAnsi="Arial"/>
          <w:b/>
        </w:rPr>
        <w:t xml:space="preserve">Art. </w:t>
      </w:r>
      <w:r w:rsidR="00077934">
        <w:rPr>
          <w:rFonts w:ascii="Arial" w:hAnsi="Arial"/>
          <w:b/>
        </w:rPr>
        <w:t>4</w:t>
      </w:r>
      <w:r>
        <w:rPr>
          <w:rFonts w:ascii="Arial" w:hAnsi="Arial"/>
          <w:b/>
        </w:rPr>
        <w:sym w:font="Symbol" w:char="F0B0"/>
      </w:r>
      <w:r>
        <w:rPr>
          <w:rFonts w:ascii="Arial" w:hAnsi="Arial"/>
          <w:b/>
        </w:rPr>
        <w:t>).-</w:t>
      </w:r>
      <w:r>
        <w:rPr>
          <w:rFonts w:ascii="Arial" w:hAnsi="Arial"/>
        </w:rPr>
        <w:t xml:space="preserve"> </w:t>
      </w:r>
      <w:r w:rsidR="00B32EBE" w:rsidRPr="00B32EBE">
        <w:rPr>
          <w:rFonts w:ascii="Arial" w:hAnsi="Arial" w:cs="Arial"/>
          <w:lang w:val="es-AR"/>
        </w:rPr>
        <w:t>Regístrese. Pase a la Dirección</w:t>
      </w:r>
      <w:r w:rsidR="00077934">
        <w:rPr>
          <w:rFonts w:ascii="Arial" w:hAnsi="Arial" w:cs="Arial"/>
          <w:lang w:val="es-AR"/>
        </w:rPr>
        <w:t xml:space="preserve"> General de Economía y Finanzas –Dirección de Contrataciones- para su conocimiento y notificación a las firmas </w:t>
      </w:r>
      <w:proofErr w:type="spellStart"/>
      <w:r w:rsidR="00077934">
        <w:rPr>
          <w:rFonts w:ascii="Arial" w:hAnsi="Arial" w:cs="Arial"/>
          <w:lang w:val="es-AR"/>
        </w:rPr>
        <w:t>adjuticatarias</w:t>
      </w:r>
      <w:proofErr w:type="spellEnd"/>
      <w:r w:rsidR="00077934">
        <w:rPr>
          <w:rFonts w:ascii="Arial" w:hAnsi="Arial" w:cs="Arial"/>
          <w:lang w:val="es-AR"/>
        </w:rPr>
        <w:t>.</w:t>
      </w:r>
      <w:r w:rsidR="00B32EBE" w:rsidRPr="00B32EBE">
        <w:rPr>
          <w:rFonts w:ascii="Arial" w:hAnsi="Arial" w:cs="Arial"/>
          <w:lang w:val="es-AR"/>
        </w:rPr>
        <w:t xml:space="preserve"> Cumplido, archívese.-</w:t>
      </w:r>
    </w:p>
    <w:p w:rsidR="00B71A7A" w:rsidRPr="00EF4A6B" w:rsidRDefault="00B71A7A" w:rsidP="00BE3EFD">
      <w:pPr>
        <w:jc w:val="both"/>
        <w:rPr>
          <w:rFonts w:ascii="Arial" w:hAnsi="Arial" w:cs="Arial"/>
        </w:rPr>
      </w:pPr>
    </w:p>
    <w:sectPr w:rsidR="00B71A7A" w:rsidRPr="00EF4A6B" w:rsidSect="0082431A">
      <w:pgSz w:w="11907" w:h="16840" w:code="9"/>
      <w:pgMar w:top="2552" w:right="567" w:bottom="567" w:left="18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23FCF"/>
    <w:multiLevelType w:val="hybridMultilevel"/>
    <w:tmpl w:val="752A65CA"/>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F2B75F9"/>
    <w:multiLevelType w:val="hybridMultilevel"/>
    <w:tmpl w:val="3A52D02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11BF0"/>
    <w:rsid w:val="00006E8E"/>
    <w:rsid w:val="000150AF"/>
    <w:rsid w:val="00047864"/>
    <w:rsid w:val="00077934"/>
    <w:rsid w:val="00084A3B"/>
    <w:rsid w:val="000C220B"/>
    <w:rsid w:val="000C26B3"/>
    <w:rsid w:val="000D119A"/>
    <w:rsid w:val="000D77DB"/>
    <w:rsid w:val="00113E54"/>
    <w:rsid w:val="00125EE4"/>
    <w:rsid w:val="001462E4"/>
    <w:rsid w:val="001F631F"/>
    <w:rsid w:val="001F72C2"/>
    <w:rsid w:val="00232E6D"/>
    <w:rsid w:val="0026614E"/>
    <w:rsid w:val="0030335F"/>
    <w:rsid w:val="003939F2"/>
    <w:rsid w:val="003E49B4"/>
    <w:rsid w:val="00412E05"/>
    <w:rsid w:val="004D6BFC"/>
    <w:rsid w:val="004F1350"/>
    <w:rsid w:val="004F54A2"/>
    <w:rsid w:val="00526557"/>
    <w:rsid w:val="00527BFC"/>
    <w:rsid w:val="00585125"/>
    <w:rsid w:val="00602FD1"/>
    <w:rsid w:val="0064083C"/>
    <w:rsid w:val="006F7390"/>
    <w:rsid w:val="0082431A"/>
    <w:rsid w:val="008412BC"/>
    <w:rsid w:val="0087560E"/>
    <w:rsid w:val="00992156"/>
    <w:rsid w:val="009C3025"/>
    <w:rsid w:val="009F0D59"/>
    <w:rsid w:val="00A315F2"/>
    <w:rsid w:val="00A37810"/>
    <w:rsid w:val="00AA068A"/>
    <w:rsid w:val="00AE116E"/>
    <w:rsid w:val="00AF5F09"/>
    <w:rsid w:val="00B32EBE"/>
    <w:rsid w:val="00B51CAE"/>
    <w:rsid w:val="00B71A7A"/>
    <w:rsid w:val="00BE3EFD"/>
    <w:rsid w:val="00C0715A"/>
    <w:rsid w:val="00C13610"/>
    <w:rsid w:val="00C76818"/>
    <w:rsid w:val="00C927E8"/>
    <w:rsid w:val="00C951A4"/>
    <w:rsid w:val="00C9750C"/>
    <w:rsid w:val="00CE1DD4"/>
    <w:rsid w:val="00CE538D"/>
    <w:rsid w:val="00CF0A00"/>
    <w:rsid w:val="00D0133C"/>
    <w:rsid w:val="00D03C8B"/>
    <w:rsid w:val="00D5469F"/>
    <w:rsid w:val="00D93046"/>
    <w:rsid w:val="00D9588E"/>
    <w:rsid w:val="00DA032E"/>
    <w:rsid w:val="00E11BF0"/>
    <w:rsid w:val="00E74FF3"/>
    <w:rsid w:val="00E8510C"/>
    <w:rsid w:val="00EB3690"/>
    <w:rsid w:val="00ED2AEA"/>
    <w:rsid w:val="00ED3917"/>
    <w:rsid w:val="00EF4A6B"/>
    <w:rsid w:val="00F3517C"/>
    <w:rsid w:val="00FB207B"/>
    <w:rsid w:val="00FC3DC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style>
  <w:style w:type="table" w:styleId="Tablaconcuadrcula">
    <w:name w:val="Table Grid"/>
    <w:basedOn w:val="Tablanormal"/>
    <w:rsid w:val="00393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2408">
      <w:bodyDiv w:val="1"/>
      <w:marLeft w:val="0"/>
      <w:marRight w:val="0"/>
      <w:marTop w:val="0"/>
      <w:marBottom w:val="0"/>
      <w:divBdr>
        <w:top w:val="none" w:sz="0" w:space="0" w:color="auto"/>
        <w:left w:val="none" w:sz="0" w:space="0" w:color="auto"/>
        <w:bottom w:val="none" w:sz="0" w:space="0" w:color="auto"/>
        <w:right w:val="none" w:sz="0" w:space="0" w:color="auto"/>
      </w:divBdr>
    </w:div>
    <w:div w:id="32312149">
      <w:bodyDiv w:val="1"/>
      <w:marLeft w:val="0"/>
      <w:marRight w:val="0"/>
      <w:marTop w:val="0"/>
      <w:marBottom w:val="0"/>
      <w:divBdr>
        <w:top w:val="none" w:sz="0" w:space="0" w:color="auto"/>
        <w:left w:val="none" w:sz="0" w:space="0" w:color="auto"/>
        <w:bottom w:val="none" w:sz="0" w:space="0" w:color="auto"/>
        <w:right w:val="none" w:sz="0" w:space="0" w:color="auto"/>
      </w:divBdr>
    </w:div>
    <w:div w:id="256064524">
      <w:bodyDiv w:val="1"/>
      <w:marLeft w:val="0"/>
      <w:marRight w:val="0"/>
      <w:marTop w:val="0"/>
      <w:marBottom w:val="0"/>
      <w:divBdr>
        <w:top w:val="none" w:sz="0" w:space="0" w:color="auto"/>
        <w:left w:val="none" w:sz="0" w:space="0" w:color="auto"/>
        <w:bottom w:val="none" w:sz="0" w:space="0" w:color="auto"/>
        <w:right w:val="none" w:sz="0" w:space="0" w:color="auto"/>
      </w:divBdr>
    </w:div>
    <w:div w:id="497618302">
      <w:bodyDiv w:val="1"/>
      <w:marLeft w:val="0"/>
      <w:marRight w:val="0"/>
      <w:marTop w:val="0"/>
      <w:marBottom w:val="0"/>
      <w:divBdr>
        <w:top w:val="none" w:sz="0" w:space="0" w:color="auto"/>
        <w:left w:val="none" w:sz="0" w:space="0" w:color="auto"/>
        <w:bottom w:val="none" w:sz="0" w:space="0" w:color="auto"/>
        <w:right w:val="none" w:sz="0" w:space="0" w:color="auto"/>
      </w:divBdr>
    </w:div>
    <w:div w:id="1680572200">
      <w:bodyDiv w:val="1"/>
      <w:marLeft w:val="0"/>
      <w:marRight w:val="0"/>
      <w:marTop w:val="0"/>
      <w:marBottom w:val="0"/>
      <w:divBdr>
        <w:top w:val="none" w:sz="0" w:space="0" w:color="auto"/>
        <w:left w:val="none" w:sz="0" w:space="0" w:color="auto"/>
        <w:bottom w:val="none" w:sz="0" w:space="0" w:color="auto"/>
        <w:right w:val="none" w:sz="0" w:space="0" w:color="auto"/>
      </w:divBdr>
    </w:div>
    <w:div w:id="1736271635">
      <w:bodyDiv w:val="1"/>
      <w:marLeft w:val="0"/>
      <w:marRight w:val="0"/>
      <w:marTop w:val="0"/>
      <w:marBottom w:val="0"/>
      <w:divBdr>
        <w:top w:val="none" w:sz="0" w:space="0" w:color="auto"/>
        <w:left w:val="none" w:sz="0" w:space="0" w:color="auto"/>
        <w:bottom w:val="none" w:sz="0" w:space="0" w:color="auto"/>
        <w:right w:val="none" w:sz="0" w:space="0" w:color="auto"/>
      </w:divBdr>
    </w:div>
    <w:div w:id="2059696533">
      <w:bodyDiv w:val="1"/>
      <w:marLeft w:val="0"/>
      <w:marRight w:val="0"/>
      <w:marTop w:val="0"/>
      <w:marBottom w:val="0"/>
      <w:divBdr>
        <w:top w:val="none" w:sz="0" w:space="0" w:color="auto"/>
        <w:left w:val="none" w:sz="0" w:space="0" w:color="auto"/>
        <w:bottom w:val="none" w:sz="0" w:space="0" w:color="auto"/>
        <w:right w:val="none" w:sz="0" w:space="0" w:color="auto"/>
      </w:divBdr>
      <w:divsChild>
        <w:div w:id="217983322">
          <w:marLeft w:val="0"/>
          <w:marRight w:val="0"/>
          <w:marTop w:val="0"/>
          <w:marBottom w:val="0"/>
          <w:divBdr>
            <w:top w:val="none" w:sz="0" w:space="0" w:color="auto"/>
            <w:left w:val="none" w:sz="0" w:space="0" w:color="auto"/>
            <w:bottom w:val="none" w:sz="0" w:space="0" w:color="auto"/>
            <w:right w:val="none" w:sz="0" w:space="0" w:color="auto"/>
          </w:divBdr>
          <w:divsChild>
            <w:div w:id="1388065278">
              <w:marLeft w:val="0"/>
              <w:marRight w:val="0"/>
              <w:marTop w:val="0"/>
              <w:marBottom w:val="0"/>
              <w:divBdr>
                <w:top w:val="none" w:sz="0" w:space="0" w:color="auto"/>
                <w:left w:val="none" w:sz="0" w:space="0" w:color="auto"/>
                <w:bottom w:val="none" w:sz="0" w:space="0" w:color="auto"/>
                <w:right w:val="none" w:sz="0" w:space="0" w:color="auto"/>
              </w:divBdr>
            </w:div>
            <w:div w:id="1877039644">
              <w:marLeft w:val="0"/>
              <w:marRight w:val="0"/>
              <w:marTop w:val="0"/>
              <w:marBottom w:val="0"/>
              <w:divBdr>
                <w:top w:val="none" w:sz="0" w:space="0" w:color="auto"/>
                <w:left w:val="none" w:sz="0" w:space="0" w:color="auto"/>
                <w:bottom w:val="none" w:sz="0" w:space="0" w:color="auto"/>
                <w:right w:val="none" w:sz="0" w:space="0" w:color="auto"/>
              </w:divBdr>
            </w:div>
            <w:div w:id="20882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A2C04-278A-4C54-AADD-1CE0A3D9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REGISTRADO Nº DD BB y F  217/02                                 BAHIA BLANCA 11</vt:lpstr>
    </vt:vector>
  </TitlesOfParts>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Nº DD BB y F  217/02                                 BAHIA BLANCA 11</dc:title>
  <dc:subject/>
  <dc:creator>Maria de los Angeles</dc:creator>
  <cp:keywords/>
  <cp:lastModifiedBy>Keith</cp:lastModifiedBy>
  <cp:revision>2</cp:revision>
  <cp:lastPrinted>2012-12-04T16:37:00Z</cp:lastPrinted>
  <dcterms:created xsi:type="dcterms:W3CDTF">2025-07-06T17:28:00Z</dcterms:created>
  <dcterms:modified xsi:type="dcterms:W3CDTF">2025-07-06T17:28:00Z</dcterms:modified>
</cp:coreProperties>
</file>