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665DF1">
        <w:rPr>
          <w:rFonts w:ascii="Arial" w:hAnsi="Arial"/>
          <w:b/>
        </w:rPr>
        <w:t>35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CF0A00">
        <w:rPr>
          <w:rFonts w:ascii="Arial" w:hAnsi="Arial"/>
          <w:b/>
        </w:rPr>
        <w:t>2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602FD1" w:rsidRPr="00602FD1" w:rsidRDefault="00B32EBE" w:rsidP="0082431A">
      <w:pPr>
        <w:ind w:firstLine="5670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 xml:space="preserve">LEGAJO Nº </w:t>
      </w:r>
      <w:r w:rsidR="00665DF1">
        <w:rPr>
          <w:rFonts w:ascii="Arial" w:hAnsi="Arial"/>
          <w:b/>
        </w:rPr>
        <w:t>424</w:t>
      </w:r>
      <w:r w:rsidR="00602FD1" w:rsidRPr="00602FD1">
        <w:rPr>
          <w:rFonts w:ascii="Arial" w:hAnsi="Arial"/>
          <w:b/>
        </w:rPr>
        <w:t>/12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B32EBE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</w:t>
      </w:r>
      <w:r w:rsidR="00EF4A6B">
        <w:rPr>
          <w:rFonts w:ascii="Arial" w:hAnsi="Arial"/>
          <w:b/>
        </w:rPr>
        <w:t>:</w:t>
      </w:r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32EBE" w:rsidRPr="00B32EBE" w:rsidRDefault="00B32EBE" w:rsidP="00B32EBE">
      <w:pPr>
        <w:pStyle w:val="Textoindependiente"/>
        <w:ind w:firstLine="851"/>
        <w:rPr>
          <w:rFonts w:ascii="Arial" w:hAnsi="Arial" w:cs="Arial"/>
          <w:lang w:val="es-AR"/>
        </w:rPr>
      </w:pPr>
      <w:r w:rsidRPr="00B32EBE">
        <w:rPr>
          <w:rFonts w:ascii="Arial" w:hAnsi="Arial" w:cs="Arial"/>
          <w:lang w:val="es-AR"/>
        </w:rPr>
        <w:t xml:space="preserve">La Compra Directa Nº </w:t>
      </w:r>
      <w:r w:rsidR="00665DF1">
        <w:rPr>
          <w:rFonts w:ascii="Arial" w:hAnsi="Arial" w:cs="Arial"/>
          <w:lang w:val="es-AR"/>
        </w:rPr>
        <w:t>4</w:t>
      </w:r>
      <w:r w:rsidR="00084A3B">
        <w:rPr>
          <w:rFonts w:ascii="Arial" w:hAnsi="Arial" w:cs="Arial"/>
          <w:lang w:val="es-AR"/>
        </w:rPr>
        <w:t>6</w:t>
      </w:r>
      <w:r w:rsidR="00665DF1">
        <w:rPr>
          <w:rFonts w:ascii="Arial" w:hAnsi="Arial" w:cs="Arial"/>
          <w:lang w:val="es-AR"/>
        </w:rPr>
        <w:t>1</w:t>
      </w:r>
      <w:r w:rsidRPr="00B32EBE">
        <w:rPr>
          <w:rFonts w:ascii="Arial" w:hAnsi="Arial" w:cs="Arial"/>
          <w:lang w:val="es-AR"/>
        </w:rPr>
        <w:t xml:space="preserve">/2012 por la cual se tramita </w:t>
      </w:r>
      <w:r w:rsidR="00665DF1">
        <w:rPr>
          <w:rFonts w:ascii="Arial" w:hAnsi="Arial" w:cs="Arial"/>
          <w:lang w:val="es-AR"/>
        </w:rPr>
        <w:t>la adquisición de equipamiento informático</w:t>
      </w:r>
      <w:r w:rsidRPr="00B32EBE">
        <w:rPr>
          <w:rFonts w:ascii="Arial" w:hAnsi="Arial" w:cs="Arial"/>
          <w:lang w:val="es-AR"/>
        </w:rPr>
        <w:t>;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B32EBE" w:rsidRPr="00B32EBE" w:rsidRDefault="00084A3B" w:rsidP="00B32EBE">
      <w:pPr>
        <w:pStyle w:val="Textoindependiente"/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</w:t>
      </w:r>
      <w:r w:rsidR="00A02D91">
        <w:rPr>
          <w:rFonts w:ascii="Arial" w:hAnsi="Arial" w:cs="Arial"/>
          <w:lang w:val="es-AR"/>
        </w:rPr>
        <w:t>la Comisión de pre adjudicación, con fecha 07 de diciembre último, ha analizado las ofertas recibidas, sugiriendo que la misma se haga en favor de las empresas C3I S.A. y CASA HUMBETO LUCAIOLI S.A.</w:t>
      </w:r>
      <w:r w:rsidR="00B32EBE" w:rsidRPr="00B32EBE">
        <w:rPr>
          <w:rFonts w:ascii="Arial" w:hAnsi="Arial" w:cs="Arial"/>
          <w:lang w:val="es-AR"/>
        </w:rPr>
        <w:t xml:space="preserve">; </w:t>
      </w:r>
    </w:p>
    <w:p w:rsidR="00B32EBE" w:rsidRDefault="00B32EBE" w:rsidP="00B32EBE">
      <w:pPr>
        <w:pStyle w:val="Textoindependiente"/>
        <w:ind w:firstLine="851"/>
        <w:rPr>
          <w:rFonts w:ascii="Arial" w:hAnsi="Arial" w:cs="Arial"/>
          <w:lang w:val="es-AR"/>
        </w:rPr>
      </w:pPr>
    </w:p>
    <w:p w:rsidR="00A02D91" w:rsidRDefault="00A02D91" w:rsidP="00B32EBE">
      <w:pPr>
        <w:pStyle w:val="Textoindependiente"/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resulta factible atender al gasto estimado, según lo informado por la Dirección de Área Contable;</w:t>
      </w:r>
    </w:p>
    <w:p w:rsidR="00A02D91" w:rsidRPr="00B32EBE" w:rsidRDefault="00A02D91" w:rsidP="00B32EBE">
      <w:pPr>
        <w:pStyle w:val="Textoindependiente"/>
        <w:ind w:firstLine="851"/>
        <w:rPr>
          <w:rFonts w:ascii="Arial" w:hAnsi="Arial" w:cs="Arial"/>
          <w:lang w:val="es-AR"/>
        </w:rPr>
      </w:pPr>
    </w:p>
    <w:p w:rsidR="00B32EBE" w:rsidRPr="00B32EBE" w:rsidRDefault="00527BFC" w:rsidP="00B32EBE">
      <w:pPr>
        <w:pStyle w:val="Textoindependiente"/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el artículo 147</w:t>
      </w:r>
      <w:r w:rsidR="00B32EBE" w:rsidRPr="00B32EBE">
        <w:rPr>
          <w:rFonts w:ascii="Arial" w:hAnsi="Arial" w:cs="Arial"/>
          <w:lang w:val="es-AR"/>
        </w:rPr>
        <w:t xml:space="preserve">º, inciso </w:t>
      </w:r>
      <w:r>
        <w:rPr>
          <w:rFonts w:ascii="Arial" w:hAnsi="Arial" w:cs="Arial"/>
          <w:lang w:val="es-AR"/>
        </w:rPr>
        <w:t xml:space="preserve">i) </w:t>
      </w:r>
      <w:r w:rsidR="00B32EBE" w:rsidRPr="00B32EBE">
        <w:rPr>
          <w:rFonts w:ascii="Arial" w:hAnsi="Arial" w:cs="Arial"/>
          <w:lang w:val="es-AR"/>
        </w:rPr>
        <w:t xml:space="preserve">del Decreto 893/2012 - Régimen de Contrataciones de la Administración Nacional – establece que </w:t>
      </w:r>
      <w:r>
        <w:rPr>
          <w:rFonts w:ascii="Arial" w:hAnsi="Arial" w:cs="Arial"/>
          <w:lang w:val="es-AR"/>
        </w:rPr>
        <w:t>la autoridad competente deberá pronunciarse sobre el procedimiento elegido y las bases que rigieron el llamado;</w:t>
      </w:r>
    </w:p>
    <w:p w:rsidR="00B32EBE" w:rsidRPr="00B32EBE" w:rsidRDefault="00B32EBE" w:rsidP="00B32EBE">
      <w:pPr>
        <w:pStyle w:val="Textoindependiente"/>
        <w:ind w:firstLine="851"/>
        <w:rPr>
          <w:rFonts w:ascii="Arial" w:hAnsi="Arial" w:cs="Arial"/>
          <w:lang w:val="es-AR"/>
        </w:rPr>
      </w:pPr>
      <w:r w:rsidRPr="00B32EBE">
        <w:rPr>
          <w:rFonts w:ascii="Arial" w:hAnsi="Arial" w:cs="Arial"/>
          <w:lang w:val="es-AR"/>
        </w:rPr>
        <w:t>       </w:t>
      </w:r>
    </w:p>
    <w:p w:rsidR="00B32EBE" w:rsidRPr="00B32EBE" w:rsidRDefault="00B32EBE" w:rsidP="00B32EBE">
      <w:pPr>
        <w:pStyle w:val="Textoindependiente"/>
        <w:ind w:firstLine="851"/>
        <w:rPr>
          <w:rFonts w:ascii="Arial" w:hAnsi="Arial" w:cs="Arial"/>
          <w:lang w:val="es-AR"/>
        </w:rPr>
      </w:pPr>
      <w:r w:rsidRPr="00B32EBE">
        <w:rPr>
          <w:rFonts w:ascii="Arial" w:hAnsi="Arial" w:cs="Arial"/>
          <w:lang w:val="es-AR"/>
        </w:rPr>
        <w:t xml:space="preserve">Que el artículo </w:t>
      </w:r>
      <w:r w:rsidR="00527BFC">
        <w:rPr>
          <w:rFonts w:ascii="Arial" w:hAnsi="Arial" w:cs="Arial"/>
          <w:lang w:val="es-AR"/>
        </w:rPr>
        <w:t>11</w:t>
      </w:r>
      <w:r w:rsidR="00A02D91">
        <w:rPr>
          <w:rFonts w:ascii="Arial" w:hAnsi="Arial" w:cs="Arial"/>
          <w:lang w:val="es-AR"/>
        </w:rPr>
        <w:t>º</w:t>
      </w:r>
      <w:r w:rsidRPr="00B32EBE">
        <w:rPr>
          <w:rFonts w:ascii="Arial" w:hAnsi="Arial" w:cs="Arial"/>
          <w:lang w:val="es-AR"/>
        </w:rPr>
        <w:t xml:space="preserve"> del Decreto </w:t>
      </w:r>
      <w:r w:rsidR="00527BFC">
        <w:rPr>
          <w:rFonts w:ascii="Arial" w:hAnsi="Arial" w:cs="Arial"/>
          <w:lang w:val="es-AR"/>
        </w:rPr>
        <w:t>1023</w:t>
      </w:r>
      <w:r w:rsidRPr="00B32EBE">
        <w:rPr>
          <w:rFonts w:ascii="Arial" w:hAnsi="Arial" w:cs="Arial"/>
          <w:lang w:val="es-AR"/>
        </w:rPr>
        <w:t>/20</w:t>
      </w:r>
      <w:r w:rsidR="00527BFC">
        <w:rPr>
          <w:rFonts w:ascii="Arial" w:hAnsi="Arial" w:cs="Arial"/>
          <w:lang w:val="es-AR"/>
        </w:rPr>
        <w:t>0</w:t>
      </w:r>
      <w:r w:rsidRPr="00B32EBE">
        <w:rPr>
          <w:rFonts w:ascii="Arial" w:hAnsi="Arial" w:cs="Arial"/>
          <w:lang w:val="es-AR"/>
        </w:rPr>
        <w:t xml:space="preserve">1 establece que </w:t>
      </w:r>
      <w:r w:rsidR="00527BFC">
        <w:rPr>
          <w:rFonts w:ascii="Arial" w:hAnsi="Arial" w:cs="Arial"/>
          <w:lang w:val="es-AR"/>
        </w:rPr>
        <w:t xml:space="preserve">debe dictarse </w:t>
      </w:r>
      <w:r w:rsidRPr="00B32EBE">
        <w:rPr>
          <w:rFonts w:ascii="Arial" w:hAnsi="Arial" w:cs="Arial"/>
          <w:lang w:val="es-AR"/>
        </w:rPr>
        <w:t xml:space="preserve">el </w:t>
      </w:r>
      <w:r w:rsidR="00527BFC">
        <w:rPr>
          <w:rFonts w:ascii="Arial" w:hAnsi="Arial" w:cs="Arial"/>
          <w:lang w:val="es-AR"/>
        </w:rPr>
        <w:t xml:space="preserve">pertinente </w:t>
      </w:r>
      <w:r w:rsidRPr="00B32EBE">
        <w:rPr>
          <w:rFonts w:ascii="Arial" w:hAnsi="Arial" w:cs="Arial"/>
          <w:lang w:val="es-AR"/>
        </w:rPr>
        <w:t xml:space="preserve">acto administrativo </w:t>
      </w:r>
      <w:r w:rsidR="00527BFC">
        <w:rPr>
          <w:rFonts w:ascii="Arial" w:hAnsi="Arial" w:cs="Arial"/>
          <w:lang w:val="es-AR"/>
        </w:rPr>
        <w:t>de aprobación del procedimiento y adjudicación</w:t>
      </w:r>
      <w:r w:rsidRPr="00B32EBE">
        <w:rPr>
          <w:rFonts w:ascii="Arial" w:hAnsi="Arial" w:cs="Arial"/>
          <w:lang w:val="es-AR"/>
        </w:rPr>
        <w:t>;</w:t>
      </w:r>
    </w:p>
    <w:p w:rsidR="0082431A" w:rsidRPr="0082431A" w:rsidRDefault="00B71A7A" w:rsidP="00527BFC">
      <w:pPr>
        <w:pStyle w:val="Textoindependiente"/>
        <w:rPr>
          <w:rFonts w:ascii="Arial" w:hAnsi="Arial"/>
          <w:b/>
        </w:rPr>
      </w:pPr>
      <w:r w:rsidRPr="00EF4A6B">
        <w:rPr>
          <w:rFonts w:ascii="Arial" w:hAnsi="Arial" w:cs="Arial"/>
        </w:rPr>
        <w:t xml:space="preserve">     </w:t>
      </w:r>
      <w:r w:rsidR="0082431A">
        <w:rPr>
          <w:rFonts w:ascii="Arial" w:hAnsi="Arial"/>
        </w:rPr>
        <w:t xml:space="preserve">   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32EBE" w:rsidRDefault="00BE3EFD" w:rsidP="00B32EBE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527BFC">
        <w:rPr>
          <w:rFonts w:ascii="Arial" w:hAnsi="Arial"/>
        </w:rPr>
        <w:t xml:space="preserve">Convalidar el proceso de selección utilizado para la </w:t>
      </w:r>
      <w:r w:rsidR="00A02D91">
        <w:rPr>
          <w:rFonts w:ascii="Arial" w:hAnsi="Arial"/>
        </w:rPr>
        <w:t>adquisición de equipamiento</w:t>
      </w:r>
      <w:r w:rsidR="00527BFC">
        <w:rPr>
          <w:rFonts w:ascii="Arial" w:hAnsi="Arial"/>
        </w:rPr>
        <w:t xml:space="preserve"> informático, encuadrándolo como </w:t>
      </w:r>
      <w:r w:rsidR="00527BFC" w:rsidRPr="00A02D91">
        <w:rPr>
          <w:rFonts w:ascii="Arial" w:hAnsi="Arial"/>
          <w:i/>
        </w:rPr>
        <w:t>Contratación Directa</w:t>
      </w:r>
      <w:r w:rsidR="00A02D91" w:rsidRPr="00A02D91">
        <w:rPr>
          <w:rFonts w:ascii="Arial" w:hAnsi="Arial"/>
          <w:i/>
        </w:rPr>
        <w:t xml:space="preserve"> por Trámite Simplificado</w:t>
      </w:r>
      <w:r w:rsidR="00527BFC">
        <w:rPr>
          <w:rFonts w:ascii="Arial" w:hAnsi="Arial"/>
        </w:rPr>
        <w:t>, en el marco del artículo 25, inciso d), apartado</w:t>
      </w:r>
      <w:r w:rsidR="003939F2">
        <w:rPr>
          <w:rFonts w:ascii="Arial" w:hAnsi="Arial"/>
        </w:rPr>
        <w:t xml:space="preserve"> </w:t>
      </w:r>
      <w:r w:rsidR="00A02D91">
        <w:rPr>
          <w:rFonts w:ascii="Arial" w:hAnsi="Arial"/>
        </w:rPr>
        <w:t>l)</w:t>
      </w:r>
      <w:r w:rsidR="003939F2">
        <w:rPr>
          <w:rFonts w:ascii="Arial" w:hAnsi="Arial"/>
        </w:rPr>
        <w:t xml:space="preserve"> del Decreto 1023/2001.-</w:t>
      </w:r>
    </w:p>
    <w:p w:rsidR="00B32EBE" w:rsidRDefault="00B32EBE" w:rsidP="00B32EBE">
      <w:pPr>
        <w:jc w:val="both"/>
        <w:rPr>
          <w:rFonts w:ascii="Arial" w:hAnsi="Arial"/>
          <w:b/>
        </w:rPr>
      </w:pPr>
    </w:p>
    <w:p w:rsidR="00B32EBE" w:rsidRDefault="00B32EBE" w:rsidP="00B32EBE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A02D91">
        <w:rPr>
          <w:rFonts w:ascii="Arial" w:hAnsi="Arial"/>
          <w:lang w:val="es-AR"/>
        </w:rPr>
        <w:t xml:space="preserve">Convalidar lo actuado por </w:t>
      </w:r>
      <w:r w:rsidR="003939F2">
        <w:rPr>
          <w:rFonts w:ascii="Arial" w:hAnsi="Arial"/>
          <w:lang w:val="es-AR"/>
        </w:rPr>
        <w:t>l</w:t>
      </w:r>
      <w:r w:rsidR="00A02D91">
        <w:rPr>
          <w:rFonts w:ascii="Arial" w:hAnsi="Arial"/>
          <w:lang w:val="es-AR"/>
        </w:rPr>
        <w:t>os señores</w:t>
      </w:r>
      <w:r w:rsidR="003939F2">
        <w:rPr>
          <w:rFonts w:ascii="Arial" w:hAnsi="Arial"/>
          <w:lang w:val="es-AR"/>
        </w:rPr>
        <w:t xml:space="preserve"> Ing. </w:t>
      </w:r>
      <w:r w:rsidR="00A02D91">
        <w:rPr>
          <w:rFonts w:ascii="Arial" w:hAnsi="Arial"/>
          <w:lang w:val="es-AR"/>
        </w:rPr>
        <w:t>Claudio Salamanca</w:t>
      </w:r>
      <w:r w:rsidR="003939F2">
        <w:rPr>
          <w:rFonts w:ascii="Arial" w:hAnsi="Arial"/>
          <w:lang w:val="es-AR"/>
        </w:rPr>
        <w:t xml:space="preserve">, </w:t>
      </w:r>
      <w:r w:rsidR="00C26CFA">
        <w:rPr>
          <w:rFonts w:ascii="Arial" w:hAnsi="Arial"/>
          <w:lang w:val="es-AR"/>
        </w:rPr>
        <w:t>Lic. Gustavo Distel y por la Sra. Sandra Reeb</w:t>
      </w:r>
      <w:r w:rsidR="003939F2">
        <w:rPr>
          <w:rFonts w:ascii="Arial" w:hAnsi="Arial"/>
          <w:lang w:val="es-AR"/>
        </w:rPr>
        <w:t>, quienes intervinieron en carácter de Comisión Evaluadora de la</w:t>
      </w:r>
      <w:r w:rsidR="00C26CFA">
        <w:rPr>
          <w:rFonts w:ascii="Arial" w:hAnsi="Arial"/>
          <w:lang w:val="es-AR"/>
        </w:rPr>
        <w:t>s ofertas recibidas a la</w:t>
      </w:r>
      <w:r w:rsidR="003939F2">
        <w:rPr>
          <w:rFonts w:ascii="Arial" w:hAnsi="Arial"/>
          <w:lang w:val="es-AR"/>
        </w:rPr>
        <w:t xml:space="preserve"> presente Compra Directa.-</w:t>
      </w:r>
    </w:p>
    <w:p w:rsidR="003939F2" w:rsidRDefault="003939F2" w:rsidP="00B32EBE">
      <w:pPr>
        <w:jc w:val="both"/>
        <w:rPr>
          <w:rFonts w:ascii="Arial" w:hAnsi="Arial"/>
          <w:lang w:val="es-AR"/>
        </w:rPr>
      </w:pPr>
    </w:p>
    <w:p w:rsidR="00B32EBE" w:rsidRDefault="003939F2" w:rsidP="00B32EBE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 xml:space="preserve">Aprobar la adjudicación por la suma total de </w:t>
      </w:r>
      <w:r w:rsidR="00C26CFA">
        <w:rPr>
          <w:rFonts w:ascii="Arial" w:hAnsi="Arial"/>
        </w:rPr>
        <w:t>TRECE MIL CUATROCIENTOS OCHENTA Y OCHO con 28/100</w:t>
      </w:r>
      <w:r>
        <w:rPr>
          <w:rFonts w:ascii="Arial" w:hAnsi="Arial"/>
        </w:rPr>
        <w:t xml:space="preserve"> ($ </w:t>
      </w:r>
      <w:r w:rsidR="00C26CFA">
        <w:rPr>
          <w:rFonts w:ascii="Arial" w:hAnsi="Arial"/>
        </w:rPr>
        <w:t>13.488</w:t>
      </w:r>
      <w:r>
        <w:rPr>
          <w:rFonts w:ascii="Arial" w:hAnsi="Arial"/>
        </w:rPr>
        <w:t>,</w:t>
      </w:r>
      <w:r w:rsidR="00C26CFA">
        <w:rPr>
          <w:rFonts w:ascii="Arial" w:hAnsi="Arial"/>
        </w:rPr>
        <w:t>28</w:t>
      </w:r>
      <w:r>
        <w:rPr>
          <w:rFonts w:ascii="Arial" w:hAnsi="Arial"/>
        </w:rPr>
        <w:t xml:space="preserve">), según el detalle que se adjunta, con el fin de adquirir </w:t>
      </w:r>
      <w:r w:rsidR="00C26CFA">
        <w:rPr>
          <w:rFonts w:ascii="Arial" w:hAnsi="Arial"/>
        </w:rPr>
        <w:t>equipamiento</w:t>
      </w:r>
      <w:r>
        <w:rPr>
          <w:rFonts w:ascii="Arial" w:hAnsi="Arial"/>
        </w:rPr>
        <w:t xml:space="preserve"> informático, en un todo de acuerdo en lo establecido en el artículo 25, inc. d), apartado l) del Dto. 1023/2001.-</w:t>
      </w:r>
    </w:p>
    <w:p w:rsidR="003939F2" w:rsidRDefault="003939F2" w:rsidP="00B32EBE">
      <w:pPr>
        <w:jc w:val="both"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/>
      </w:tblPr>
      <w:tblGrid>
        <w:gridCol w:w="3510"/>
        <w:gridCol w:w="1777"/>
        <w:gridCol w:w="1625"/>
      </w:tblGrid>
      <w:tr w:rsidR="003939F2" w:rsidRPr="00C13610" w:rsidTr="00C13610">
        <w:tc>
          <w:tcPr>
            <w:tcW w:w="3510" w:type="dxa"/>
            <w:shd w:val="clear" w:color="auto" w:fill="auto"/>
          </w:tcPr>
          <w:p w:rsidR="003939F2" w:rsidRPr="00C13610" w:rsidRDefault="003939F2" w:rsidP="00C13610">
            <w:pPr>
              <w:jc w:val="both"/>
              <w:rPr>
                <w:rFonts w:ascii="Arial" w:hAnsi="Arial"/>
                <w:b/>
                <w:i/>
                <w:lang w:val="es-AR"/>
              </w:rPr>
            </w:pPr>
            <w:r w:rsidRPr="00C13610">
              <w:rPr>
                <w:rFonts w:ascii="Arial" w:hAnsi="Arial"/>
                <w:b/>
                <w:i/>
                <w:lang w:val="es-AR"/>
              </w:rPr>
              <w:t>FIRMA ADJUDICATARIA</w:t>
            </w:r>
          </w:p>
        </w:tc>
        <w:tc>
          <w:tcPr>
            <w:tcW w:w="1777" w:type="dxa"/>
            <w:shd w:val="clear" w:color="auto" w:fill="auto"/>
          </w:tcPr>
          <w:p w:rsidR="003939F2" w:rsidRPr="00C13610" w:rsidRDefault="003939F2" w:rsidP="00C13610">
            <w:pPr>
              <w:jc w:val="both"/>
              <w:rPr>
                <w:rFonts w:ascii="Arial" w:hAnsi="Arial"/>
                <w:b/>
                <w:i/>
                <w:lang w:val="es-AR"/>
              </w:rPr>
            </w:pPr>
            <w:r w:rsidRPr="00C13610">
              <w:rPr>
                <w:rFonts w:ascii="Arial" w:hAnsi="Arial"/>
                <w:b/>
                <w:i/>
                <w:lang w:val="es-AR"/>
              </w:rPr>
              <w:t>RENGLONES</w:t>
            </w:r>
          </w:p>
        </w:tc>
        <w:tc>
          <w:tcPr>
            <w:tcW w:w="1625" w:type="dxa"/>
            <w:shd w:val="clear" w:color="auto" w:fill="auto"/>
          </w:tcPr>
          <w:p w:rsidR="003939F2" w:rsidRPr="00C13610" w:rsidRDefault="003939F2" w:rsidP="00C13610">
            <w:pPr>
              <w:jc w:val="both"/>
              <w:rPr>
                <w:rFonts w:ascii="Arial" w:hAnsi="Arial"/>
                <w:b/>
                <w:i/>
                <w:lang w:val="es-AR"/>
              </w:rPr>
            </w:pPr>
            <w:r w:rsidRPr="00C13610">
              <w:rPr>
                <w:rFonts w:ascii="Arial" w:hAnsi="Arial"/>
                <w:b/>
                <w:i/>
                <w:lang w:val="es-AR"/>
              </w:rPr>
              <w:t>IMPORTE $</w:t>
            </w:r>
          </w:p>
        </w:tc>
      </w:tr>
      <w:tr w:rsidR="003939F2" w:rsidRPr="00C13610" w:rsidTr="00C13610">
        <w:tc>
          <w:tcPr>
            <w:tcW w:w="3510" w:type="dxa"/>
            <w:shd w:val="clear" w:color="auto" w:fill="auto"/>
          </w:tcPr>
          <w:p w:rsidR="003939F2" w:rsidRPr="00C13610" w:rsidRDefault="00C26CFA" w:rsidP="00C13610">
            <w:pPr>
              <w:jc w:val="both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C3i S.A.</w:t>
            </w:r>
          </w:p>
        </w:tc>
        <w:tc>
          <w:tcPr>
            <w:tcW w:w="1777" w:type="dxa"/>
            <w:shd w:val="clear" w:color="auto" w:fill="auto"/>
          </w:tcPr>
          <w:p w:rsidR="003939F2" w:rsidRPr="00C13610" w:rsidRDefault="00C26CFA" w:rsidP="00C13610">
            <w:pPr>
              <w:jc w:val="righ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  <w:r w:rsidR="00C75768">
              <w:rPr>
                <w:rFonts w:ascii="Arial" w:hAnsi="Arial"/>
                <w:lang w:val="es-AR"/>
              </w:rPr>
              <w:t xml:space="preserve"> y 3</w:t>
            </w:r>
          </w:p>
        </w:tc>
        <w:tc>
          <w:tcPr>
            <w:tcW w:w="1625" w:type="dxa"/>
            <w:shd w:val="clear" w:color="auto" w:fill="auto"/>
          </w:tcPr>
          <w:p w:rsidR="003939F2" w:rsidRPr="00C13610" w:rsidRDefault="00C26CFA" w:rsidP="00C13610">
            <w:pPr>
              <w:jc w:val="righ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9.689,28</w:t>
            </w:r>
          </w:p>
        </w:tc>
      </w:tr>
      <w:tr w:rsidR="003939F2" w:rsidRPr="00C13610" w:rsidTr="00C13610">
        <w:tc>
          <w:tcPr>
            <w:tcW w:w="3510" w:type="dxa"/>
            <w:shd w:val="clear" w:color="auto" w:fill="auto"/>
          </w:tcPr>
          <w:p w:rsidR="003939F2" w:rsidRPr="00C13610" w:rsidRDefault="00C26CFA" w:rsidP="00C13610">
            <w:pPr>
              <w:jc w:val="both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lastRenderedPageBreak/>
              <w:t>CASA HUMBERTO LUCAIOLI</w:t>
            </w:r>
          </w:p>
        </w:tc>
        <w:tc>
          <w:tcPr>
            <w:tcW w:w="1777" w:type="dxa"/>
            <w:shd w:val="clear" w:color="auto" w:fill="auto"/>
          </w:tcPr>
          <w:p w:rsidR="003939F2" w:rsidRPr="00C13610" w:rsidRDefault="00C75768" w:rsidP="00C13610">
            <w:pPr>
              <w:jc w:val="righ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2</w:t>
            </w:r>
          </w:p>
        </w:tc>
        <w:tc>
          <w:tcPr>
            <w:tcW w:w="1625" w:type="dxa"/>
            <w:shd w:val="clear" w:color="auto" w:fill="auto"/>
          </w:tcPr>
          <w:p w:rsidR="003939F2" w:rsidRPr="00C13610" w:rsidRDefault="00C75768" w:rsidP="00C13610">
            <w:pPr>
              <w:jc w:val="righ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3.799,00</w:t>
            </w:r>
          </w:p>
        </w:tc>
      </w:tr>
      <w:tr w:rsidR="003939F2" w:rsidRPr="00C13610" w:rsidTr="00C13610">
        <w:tc>
          <w:tcPr>
            <w:tcW w:w="5287" w:type="dxa"/>
            <w:gridSpan w:val="2"/>
            <w:shd w:val="clear" w:color="auto" w:fill="auto"/>
          </w:tcPr>
          <w:p w:rsidR="003939F2" w:rsidRPr="00C13610" w:rsidRDefault="003939F2" w:rsidP="00C13610">
            <w:pPr>
              <w:jc w:val="right"/>
              <w:rPr>
                <w:rFonts w:ascii="Arial" w:hAnsi="Arial"/>
                <w:b/>
                <w:i/>
                <w:lang w:val="es-AR"/>
              </w:rPr>
            </w:pPr>
            <w:r w:rsidRPr="00C13610">
              <w:rPr>
                <w:rFonts w:ascii="Arial" w:hAnsi="Arial"/>
                <w:b/>
                <w:i/>
                <w:lang w:val="es-AR"/>
              </w:rPr>
              <w:t>TOTAL ADJUDICADO</w:t>
            </w:r>
          </w:p>
        </w:tc>
        <w:tc>
          <w:tcPr>
            <w:tcW w:w="1625" w:type="dxa"/>
            <w:shd w:val="clear" w:color="auto" w:fill="auto"/>
          </w:tcPr>
          <w:p w:rsidR="003939F2" w:rsidRPr="00C13610" w:rsidRDefault="00C75768" w:rsidP="00C13610">
            <w:pPr>
              <w:jc w:val="righ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13.488,28</w:t>
            </w:r>
          </w:p>
        </w:tc>
      </w:tr>
    </w:tbl>
    <w:p w:rsidR="003939F2" w:rsidRPr="003939F2" w:rsidRDefault="003939F2" w:rsidP="00B32EBE">
      <w:pPr>
        <w:jc w:val="both"/>
        <w:rPr>
          <w:rFonts w:ascii="Arial" w:hAnsi="Arial"/>
          <w:lang w:val="es-AR"/>
        </w:rPr>
      </w:pPr>
    </w:p>
    <w:p w:rsidR="00B32EBE" w:rsidRPr="00B32EBE" w:rsidRDefault="00B71A7A" w:rsidP="00B32EBE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</w:rPr>
        <w:t xml:space="preserve">Art. </w:t>
      </w:r>
      <w:r w:rsidR="00077934">
        <w:rPr>
          <w:rFonts w:ascii="Arial" w:hAnsi="Arial"/>
          <w:b/>
        </w:rPr>
        <w:t>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32EBE" w:rsidRPr="00B32EBE">
        <w:rPr>
          <w:rFonts w:ascii="Arial" w:hAnsi="Arial" w:cs="Arial"/>
          <w:lang w:val="es-AR"/>
        </w:rPr>
        <w:t>Regístrese. Pase a la Dirección</w:t>
      </w:r>
      <w:r w:rsidR="00077934">
        <w:rPr>
          <w:rFonts w:ascii="Arial" w:hAnsi="Arial" w:cs="Arial"/>
          <w:lang w:val="es-AR"/>
        </w:rPr>
        <w:t xml:space="preserve"> General de Economía y Finanzas –Dirección de Contrataciones- para su conocimiento y notificación a las firmas adju</w:t>
      </w:r>
      <w:r w:rsidR="00C75768">
        <w:rPr>
          <w:rFonts w:ascii="Arial" w:hAnsi="Arial" w:cs="Arial"/>
          <w:lang w:val="es-AR"/>
        </w:rPr>
        <w:t>d</w:t>
      </w:r>
      <w:r w:rsidR="00077934">
        <w:rPr>
          <w:rFonts w:ascii="Arial" w:hAnsi="Arial" w:cs="Arial"/>
          <w:lang w:val="es-AR"/>
        </w:rPr>
        <w:t>icatarias.</w:t>
      </w:r>
      <w:r w:rsidR="00B32EBE" w:rsidRPr="00B32EBE">
        <w:rPr>
          <w:rFonts w:ascii="Arial" w:hAnsi="Arial" w:cs="Arial"/>
          <w:lang w:val="es-AR"/>
        </w:rPr>
        <w:t xml:space="preserve"> Cumplido, archívese.-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82431A">
      <w:pgSz w:w="11907" w:h="16840" w:code="9"/>
      <w:pgMar w:top="2552" w:right="567" w:bottom="567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7934"/>
    <w:rsid w:val="00084A3B"/>
    <w:rsid w:val="000C220B"/>
    <w:rsid w:val="000C26B3"/>
    <w:rsid w:val="000D119A"/>
    <w:rsid w:val="000D77DB"/>
    <w:rsid w:val="00113E54"/>
    <w:rsid w:val="00125EE4"/>
    <w:rsid w:val="001462E4"/>
    <w:rsid w:val="001F631F"/>
    <w:rsid w:val="001F72C2"/>
    <w:rsid w:val="00232E6D"/>
    <w:rsid w:val="0026614E"/>
    <w:rsid w:val="00275889"/>
    <w:rsid w:val="0030335F"/>
    <w:rsid w:val="003939F2"/>
    <w:rsid w:val="003E49B4"/>
    <w:rsid w:val="00412E05"/>
    <w:rsid w:val="004F1350"/>
    <w:rsid w:val="004F54A2"/>
    <w:rsid w:val="00526557"/>
    <w:rsid w:val="00527BFC"/>
    <w:rsid w:val="00585125"/>
    <w:rsid w:val="00602FD1"/>
    <w:rsid w:val="0064083C"/>
    <w:rsid w:val="00665DF1"/>
    <w:rsid w:val="006F7390"/>
    <w:rsid w:val="0082431A"/>
    <w:rsid w:val="008412BC"/>
    <w:rsid w:val="0087560E"/>
    <w:rsid w:val="00992156"/>
    <w:rsid w:val="009C3025"/>
    <w:rsid w:val="009F0D59"/>
    <w:rsid w:val="00A02D91"/>
    <w:rsid w:val="00A315F2"/>
    <w:rsid w:val="00A37810"/>
    <w:rsid w:val="00AA068A"/>
    <w:rsid w:val="00AE116E"/>
    <w:rsid w:val="00AF5F09"/>
    <w:rsid w:val="00B32EBE"/>
    <w:rsid w:val="00B51CAE"/>
    <w:rsid w:val="00B71A7A"/>
    <w:rsid w:val="00BE3EFD"/>
    <w:rsid w:val="00C0715A"/>
    <w:rsid w:val="00C13610"/>
    <w:rsid w:val="00C26CFA"/>
    <w:rsid w:val="00C75768"/>
    <w:rsid w:val="00C76818"/>
    <w:rsid w:val="00C927E8"/>
    <w:rsid w:val="00C951A4"/>
    <w:rsid w:val="00C9750C"/>
    <w:rsid w:val="00CA056B"/>
    <w:rsid w:val="00CE1DD4"/>
    <w:rsid w:val="00CE538D"/>
    <w:rsid w:val="00CF0A00"/>
    <w:rsid w:val="00D0133C"/>
    <w:rsid w:val="00D03C8B"/>
    <w:rsid w:val="00D5469F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  <w:style w:type="table" w:styleId="Tablaconcuadrcula">
    <w:name w:val="Table Grid"/>
    <w:basedOn w:val="Tablanormal"/>
    <w:rsid w:val="00393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D43B9-08ED-4305-9DD3-25E104E5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2012-12-04T16:37:00Z</cp:lastPrinted>
  <dcterms:created xsi:type="dcterms:W3CDTF">2025-07-06T17:29:00Z</dcterms:created>
  <dcterms:modified xsi:type="dcterms:W3CDTF">2025-07-06T17:29:00Z</dcterms:modified>
</cp:coreProperties>
</file>