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401387">
        <w:rPr>
          <w:color w:val="000000"/>
          <w:lang w:val="es-ES"/>
        </w:rPr>
        <w:t>061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el </w:t>
      </w:r>
      <w:r w:rsidR="00401387">
        <w:rPr>
          <w:rFonts w:ascii="Arial" w:hAnsi="Arial"/>
          <w:color w:val="000000"/>
          <w:sz w:val="24"/>
        </w:rPr>
        <w:t>Dr. Pablo R. Fillottrani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46E36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46E36">
        <w:rPr>
          <w:rFonts w:ascii="Arial" w:hAnsi="Arial"/>
          <w:color w:val="000000"/>
          <w:sz w:val="24"/>
        </w:rPr>
        <w:t xml:space="preserve">es </w:t>
      </w:r>
      <w:r w:rsidR="007774FC">
        <w:rPr>
          <w:rFonts w:ascii="Arial" w:hAnsi="Arial"/>
          <w:color w:val="000000"/>
          <w:sz w:val="24"/>
        </w:rPr>
        <w:t>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401387">
        <w:rPr>
          <w:rFonts w:ascii="Arial" w:hAnsi="Arial"/>
          <w:color w:val="000000"/>
          <w:sz w:val="24"/>
        </w:rPr>
        <w:t xml:space="preserve">2011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401387">
        <w:rPr>
          <w:rFonts w:ascii="Arial" w:hAnsi="Arial"/>
          <w:b/>
          <w:i/>
          <w:color w:val="000000"/>
          <w:sz w:val="24"/>
        </w:rPr>
        <w:t>Integración de Información y Servicios en la Web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46E36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946E36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946E36">
        <w:rPr>
          <w:rFonts w:ascii="Arial" w:hAnsi="Arial"/>
          <w:color w:val="000000"/>
          <w:sz w:val="24"/>
        </w:rPr>
        <w:t xml:space="preserve">2011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736676">
        <w:rPr>
          <w:rFonts w:ascii="Arial" w:hAnsi="Arial"/>
          <w:color w:val="000000"/>
          <w:sz w:val="24"/>
        </w:rPr>
        <w:t>“</w:t>
      </w:r>
      <w:r w:rsidR="00946E36" w:rsidRPr="00946E36">
        <w:rPr>
          <w:rFonts w:ascii="Arial" w:hAnsi="Arial"/>
          <w:b/>
          <w:i/>
          <w:color w:val="000000"/>
          <w:sz w:val="24"/>
        </w:rPr>
        <w:t>Integración de Información y Servicios en la Web</w:t>
      </w:r>
      <w:r w:rsidR="00736676" w:rsidRPr="00736676">
        <w:rPr>
          <w:rFonts w:ascii="Arial" w:hAnsi="Arial"/>
          <w:b/>
          <w:i/>
          <w:color w:val="000000"/>
          <w:sz w:val="24"/>
        </w:rPr>
        <w:t>”,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736676">
        <w:rPr>
          <w:rFonts w:ascii="Arial" w:hAnsi="Arial"/>
          <w:color w:val="000000"/>
          <w:sz w:val="24"/>
        </w:rPr>
        <w:t xml:space="preserve">el </w:t>
      </w:r>
      <w:r w:rsidR="00946E36">
        <w:rPr>
          <w:rFonts w:ascii="Arial" w:hAnsi="Arial"/>
          <w:color w:val="000000"/>
          <w:sz w:val="24"/>
        </w:rPr>
        <w:t>Dr. Pablo R. Fillottrani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946E36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Learning UML 2.0”.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Russ Miles, Ken Hamilton. O’Really, 2006. Valor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 xml:space="preserve"> U$S 39,67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8E79AB" w:rsidRDefault="008E79AB" w:rsidP="008E79AB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“UML 2.0 in a nutshell”. Dan Pilon, Neil Pitman. O’Really, 2005. Valor U$S 33,21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8E79AB" w:rsidRDefault="008E79AB" w:rsidP="008E79AB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“Patterns of enterprise application arquitectura”. Martín Fowler. Addison Wesley, 2002. Valor U$S 58,18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8E79AB" w:rsidRPr="00B02381" w:rsidRDefault="008E79AB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Tablet Samsung Galaxy Tabl 10.1. N° de Serie </w:t>
      </w:r>
      <w:r w:rsidR="001011E5">
        <w:rPr>
          <w:rFonts w:cs="Arial"/>
          <w:b/>
          <w:i/>
          <w:color w:val="000000"/>
          <w:sz w:val="24"/>
          <w:szCs w:val="18"/>
          <w:lang w:val="es-ES"/>
        </w:rPr>
        <w:t>RQ2CB00F5CP</w:t>
      </w:r>
      <w:r w:rsidR="005700C9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>
        <w:rPr>
          <w:rFonts w:cs="Arial"/>
          <w:b/>
          <w:i/>
          <w:color w:val="000000"/>
          <w:sz w:val="24"/>
          <w:szCs w:val="18"/>
          <w:lang w:val="es-ES"/>
        </w:rPr>
        <w:t>Valor $ 3199,00.-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6E37E3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2013-04-19T13:40:00Z</cp:lastPrinted>
  <dcterms:created xsi:type="dcterms:W3CDTF">2025-07-06T17:32:00Z</dcterms:created>
  <dcterms:modified xsi:type="dcterms:W3CDTF">2025-07-06T17:32:00Z</dcterms:modified>
</cp:coreProperties>
</file>