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0A12DF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BC0762">
        <w:rPr>
          <w:sz w:val="24"/>
          <w:szCs w:val="24"/>
          <w:lang w:val="es-AR"/>
        </w:rPr>
        <w:t>220</w:t>
      </w:r>
      <w:r w:rsidRPr="003306A6">
        <w:rPr>
          <w:sz w:val="24"/>
          <w:szCs w:val="24"/>
          <w:lang w:val="es-AR"/>
        </w:rPr>
        <w:t>/</w:t>
      </w:r>
      <w:r w:rsidR="00AA1FE2">
        <w:rPr>
          <w:sz w:val="24"/>
          <w:szCs w:val="24"/>
          <w:lang w:val="es-AR"/>
        </w:rPr>
        <w:t>1</w:t>
      </w:r>
      <w:r w:rsidR="00BC0762">
        <w:rPr>
          <w:sz w:val="24"/>
          <w:szCs w:val="24"/>
          <w:lang w:val="es-AR"/>
        </w:rPr>
        <w:t>3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DE2C94" w:rsidRDefault="00DE2C94" w:rsidP="00DE2C94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DE2C94" w:rsidRDefault="00DE2C94" w:rsidP="00DE2C94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DE2C94" w:rsidRPr="003306A6" w:rsidRDefault="00DE2C94" w:rsidP="00DE2C94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E7453B">
        <w:rPr>
          <w:rFonts w:ascii="Arial" w:hAnsi="Arial" w:cs="Arial"/>
          <w:b/>
          <w:bCs/>
          <w:sz w:val="24"/>
          <w:szCs w:val="24"/>
        </w:rPr>
        <w:t>CSU-827/13</w:t>
      </w:r>
      <w:r w:rsidR="00BC076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05B6C">
        <w:rPr>
          <w:rFonts w:ascii="Arial" w:hAnsi="Arial" w:cs="Arial"/>
          <w:bCs/>
          <w:sz w:val="24"/>
          <w:szCs w:val="24"/>
        </w:rPr>
        <w:t>mediante la cual se establecen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DE2C94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DE2C94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  <w:szCs w:val="24"/>
        </w:rPr>
      </w:pPr>
    </w:p>
    <w:p w:rsidR="00DE2C94" w:rsidRDefault="00DE2C94" w:rsidP="00DE2C94">
      <w:pPr>
        <w:pStyle w:val="Textoindependiente"/>
        <w:ind w:firstLine="851"/>
        <w:rPr>
          <w:rFonts w:ascii="Arial" w:hAnsi="Arial" w:cs="Arial"/>
          <w:bCs/>
          <w:sz w:val="24"/>
          <w:szCs w:val="24"/>
        </w:rPr>
      </w:pPr>
      <w:r w:rsidRPr="00DE2C94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DE2C94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DE2C94">
        <w:rPr>
          <w:rFonts w:ascii="Arial" w:hAnsi="Arial" w:cs="Arial"/>
          <w:bCs/>
          <w:sz w:val="24"/>
          <w:szCs w:val="24"/>
        </w:rPr>
        <w:t xml:space="preserve">y </w:t>
      </w:r>
      <w:r w:rsidRPr="00DE2C94">
        <w:rPr>
          <w:rFonts w:ascii="Arial" w:hAnsi="Arial" w:cs="Arial"/>
          <w:b/>
          <w:bCs/>
          <w:sz w:val="24"/>
          <w:szCs w:val="24"/>
        </w:rPr>
        <w:t>Ciencias de la Administración</w:t>
      </w:r>
      <w:r w:rsidRPr="00DE2C94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DE2C94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>Profesorado en Economía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>Profesorado en Economía para la Enseñanza Secundaria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 xml:space="preserve">Licenciatura en Administración </w:t>
      </w:r>
      <w:r w:rsidRPr="00DE2C94">
        <w:rPr>
          <w:rFonts w:ascii="Arial" w:hAnsi="Arial" w:cs="Arial"/>
          <w:bCs/>
          <w:sz w:val="24"/>
          <w:szCs w:val="24"/>
        </w:rPr>
        <w:t xml:space="preserve">y </w:t>
      </w:r>
      <w:r w:rsidRPr="00DE2C94">
        <w:rPr>
          <w:rFonts w:ascii="Arial" w:hAnsi="Arial" w:cs="Arial"/>
          <w:b/>
          <w:bCs/>
          <w:sz w:val="24"/>
          <w:szCs w:val="24"/>
        </w:rPr>
        <w:t>Contador Público</w:t>
      </w:r>
      <w:r w:rsidRPr="00DE2C94">
        <w:rPr>
          <w:rFonts w:ascii="Arial" w:hAnsi="Arial" w:cs="Arial"/>
          <w:bCs/>
          <w:sz w:val="24"/>
          <w:szCs w:val="24"/>
        </w:rPr>
        <w:t>;</w:t>
      </w:r>
    </w:p>
    <w:p w:rsidR="00DE2C94" w:rsidRPr="00DE2C94" w:rsidRDefault="00DE2C94" w:rsidP="00DE2C94">
      <w:pPr>
        <w:pStyle w:val="Textoindependiente"/>
        <w:ind w:firstLine="851"/>
        <w:rPr>
          <w:rFonts w:ascii="Arial" w:hAnsi="Arial" w:cs="Arial"/>
          <w:bCs/>
          <w:sz w:val="24"/>
          <w:szCs w:val="24"/>
        </w:rPr>
      </w:pPr>
    </w:p>
    <w:p w:rsidR="00DE2C94" w:rsidRPr="00BC0762" w:rsidRDefault="00BC0762" w:rsidP="00BC0762">
      <w:pPr>
        <w:pStyle w:val="Sangradetextonormal"/>
        <w:rPr>
          <w:bCs/>
          <w:szCs w:val="24"/>
        </w:rPr>
      </w:pPr>
      <w:r w:rsidRPr="00BC0762">
        <w:rPr>
          <w:bCs/>
          <w:szCs w:val="24"/>
        </w:rPr>
        <w:t>Que la Comisión ad-hoc designada para analizar los antecedentes de los inscriptos</w:t>
      </w:r>
      <w:r w:rsidR="00020DD0">
        <w:rPr>
          <w:bCs/>
          <w:lang w:val="es-ES_tradnl" w:eastAsia="es-ES"/>
        </w:rPr>
        <w:t xml:space="preserve">, </w:t>
      </w:r>
      <w:r w:rsidR="00DE2C94" w:rsidRPr="00DE2C94">
        <w:rPr>
          <w:bCs/>
          <w:lang w:val="es-ES_tradnl" w:eastAsia="es-ES"/>
        </w:rPr>
        <w:t>recomienda la designación de los docentes i</w:t>
      </w:r>
      <w:r w:rsidR="00DE2C94">
        <w:rPr>
          <w:bCs/>
          <w:lang w:val="es-ES_tradnl" w:eastAsia="es-ES"/>
        </w:rPr>
        <w:t>n</w:t>
      </w:r>
      <w:r w:rsidR="00DE2C94" w:rsidRPr="00DE2C94">
        <w:rPr>
          <w:bCs/>
          <w:lang w:val="es-ES_tradnl" w:eastAsia="es-ES"/>
        </w:rPr>
        <w:t xml:space="preserve">cluidos </w:t>
      </w:r>
      <w:r w:rsidR="00DE2C94">
        <w:rPr>
          <w:bCs/>
          <w:lang w:val="es-ES_tradnl" w:eastAsia="es-ES"/>
        </w:rPr>
        <w:t>en el Anexo de la presente</w:t>
      </w:r>
      <w:r w:rsidR="00891553">
        <w:rPr>
          <w:bCs/>
          <w:lang w:val="es-ES_tradnl" w:eastAsia="es-ES"/>
        </w:rPr>
        <w:t xml:space="preserve"> resolución</w:t>
      </w:r>
      <w:r w:rsidR="00DE2C94">
        <w:rPr>
          <w:bCs/>
          <w:lang w:val="es-ES_tradnl" w:eastAsia="es-ES"/>
        </w:rPr>
        <w:t xml:space="preserve"> </w:t>
      </w:r>
      <w:r w:rsidR="00DE2C94" w:rsidRPr="00DE2C94">
        <w:rPr>
          <w:bCs/>
          <w:lang w:val="es-ES_tradnl" w:eastAsia="es-ES"/>
        </w:rPr>
        <w:t>como Auxilia</w:t>
      </w:r>
      <w:r w:rsidR="00DE2C94">
        <w:rPr>
          <w:bCs/>
          <w:lang w:val="es-ES_tradnl" w:eastAsia="es-ES"/>
        </w:rPr>
        <w:t>res de Docencia del curso de ni</w:t>
      </w:r>
      <w:r w:rsidR="00DE2C94" w:rsidRPr="00DE2C94">
        <w:rPr>
          <w:bCs/>
          <w:lang w:val="es-ES_tradnl" w:eastAsia="es-ES"/>
        </w:rPr>
        <w:t>velación de Anál</w:t>
      </w:r>
      <w:r w:rsidR="00DE2C94">
        <w:rPr>
          <w:bCs/>
          <w:lang w:val="es-ES_tradnl" w:eastAsia="es-ES"/>
        </w:rPr>
        <w:t xml:space="preserve">isis y Comprensión de Problemas; </w:t>
      </w:r>
    </w:p>
    <w:p w:rsidR="00AA1FE2" w:rsidRPr="003306A6" w:rsidRDefault="00AA1FE2" w:rsidP="00891553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BC0762" w:rsidRDefault="00BC0762" w:rsidP="00BC0762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 fecha 09 de diciembre de 2013 por unanimidad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0A12DF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0178EF" w:rsidRDefault="000178EF" w:rsidP="000A12DF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</w:p>
    <w:p w:rsidR="00AB66EA" w:rsidRDefault="003306A6" w:rsidP="000A12DF">
      <w:pPr>
        <w:pStyle w:val="Sangradetextonormal"/>
        <w:spacing w:line="260" w:lineRule="exact"/>
        <w:ind w:firstLine="0"/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 w:rsidR="00C07F6B">
        <w:t>Establecer una asignación complementaria</w:t>
      </w:r>
      <w:r w:rsidRPr="003306A6">
        <w:t xml:space="preserve">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Auxiliares de Docencia </w:t>
      </w:r>
      <w:r w:rsidR="00C07F6B">
        <w:rPr>
          <w:szCs w:val="24"/>
        </w:rPr>
        <w:t xml:space="preserve">en </w:t>
      </w:r>
      <w:r w:rsidR="00C07F6B" w:rsidRPr="008F2FAE">
        <w:rPr>
          <w:b/>
          <w:szCs w:val="24"/>
          <w:u w:val="single"/>
        </w:rPr>
        <w:t>un</w:t>
      </w:r>
      <w:r w:rsidR="00C07F6B" w:rsidRPr="003306A6">
        <w:rPr>
          <w:szCs w:val="24"/>
        </w:rPr>
        <w:t xml:space="preserve"> </w:t>
      </w:r>
      <w:r w:rsidR="008F2FAE" w:rsidRPr="008F2FAE">
        <w:rPr>
          <w:b/>
          <w:szCs w:val="24"/>
        </w:rPr>
        <w:t>(1)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AB66EA">
        <w:t xml:space="preserve"> ANEXO</w:t>
      </w:r>
      <w:r w:rsidR="00C07F6B">
        <w:t xml:space="preserve">, </w:t>
      </w:r>
      <w:r w:rsidR="00CF2EA6">
        <w:t>a partir del 27 de enero</w:t>
      </w:r>
      <w:r w:rsidR="00BC0762" w:rsidRPr="00BC0762">
        <w:t xml:space="preserve"> y hasta el 14 de marzo de 2014.-</w:t>
      </w:r>
    </w:p>
    <w:p w:rsidR="00BC0762" w:rsidRDefault="00BC0762" w:rsidP="000A12DF">
      <w:pPr>
        <w:pStyle w:val="Sangradetextonormal"/>
        <w:spacing w:line="260" w:lineRule="exact"/>
        <w:ind w:firstLine="0"/>
        <w:rPr>
          <w:szCs w:val="24"/>
        </w:rPr>
      </w:pPr>
    </w:p>
    <w:p w:rsidR="00AA1FE2" w:rsidRDefault="00AA1FE2" w:rsidP="00AA1FE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</w:t>
      </w:r>
      <w:r w:rsidR="00D15B61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>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 w:rsidR="00BC0762">
        <w:rPr>
          <w:rFonts w:ascii="Arial" w:hAnsi="Arial" w:cs="Arial"/>
          <w:b/>
          <w:bCs/>
          <w:sz w:val="24"/>
        </w:rPr>
        <w:t>DOS MIL TRESCIENTOS VEINTE</w:t>
      </w:r>
      <w:r w:rsidRPr="00C8688C">
        <w:rPr>
          <w:rFonts w:ascii="Arial" w:hAnsi="Arial" w:cs="Arial"/>
          <w:b/>
          <w:bCs/>
          <w:sz w:val="24"/>
        </w:rPr>
        <w:t xml:space="preserve"> </w:t>
      </w:r>
      <w:r w:rsidR="00C914D7" w:rsidRPr="00C8688C">
        <w:rPr>
          <w:rFonts w:ascii="Arial" w:hAnsi="Arial" w:cs="Arial"/>
          <w:b/>
          <w:bCs/>
          <w:sz w:val="24"/>
        </w:rPr>
        <w:t xml:space="preserve">($ </w:t>
      </w:r>
      <w:r w:rsidR="00BC0762">
        <w:rPr>
          <w:rFonts w:ascii="Arial" w:hAnsi="Arial" w:cs="Arial"/>
          <w:b/>
          <w:bCs/>
          <w:sz w:val="24"/>
        </w:rPr>
        <w:t>2.320</w:t>
      </w:r>
      <w:r w:rsidRPr="00C8688C">
        <w:rPr>
          <w:rFonts w:ascii="Arial" w:hAnsi="Arial" w:cs="Arial"/>
          <w:b/>
          <w:bCs/>
          <w:sz w:val="24"/>
        </w:rPr>
        <w:t>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AA1FE2" w:rsidRDefault="00AA1FE2" w:rsidP="00AA1FE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AA1FE2" w:rsidRDefault="00AA1FE2" w:rsidP="00AA1FE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</w:t>
      </w:r>
      <w:r w:rsidR="00D15B61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0A12D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0178EF" w:rsidRDefault="00BC0762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///CDCIC-220/13</w:t>
      </w: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C8250C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D15B61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178EF" w:rsidRDefault="000178EF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146F0F" w:rsidP="000A12DF">
      <w:pPr>
        <w:pStyle w:val="Ttulo1"/>
        <w:spacing w:line="260" w:lineRule="exact"/>
        <w:rPr>
          <w:b w:val="0"/>
          <w:bCs w:val="0"/>
          <w:sz w:val="24"/>
          <w:szCs w:val="24"/>
        </w:rPr>
      </w:pPr>
      <w:r w:rsidRPr="003306A6">
        <w:rPr>
          <w:sz w:val="24"/>
          <w:szCs w:val="24"/>
          <w:lang w:val="es-AR"/>
        </w:rPr>
        <w:t>///CDCIC-</w:t>
      </w:r>
      <w:r w:rsidR="00BC0762">
        <w:rPr>
          <w:sz w:val="24"/>
          <w:szCs w:val="24"/>
          <w:lang w:val="es-AR"/>
        </w:rPr>
        <w:t>220</w:t>
      </w:r>
      <w:r w:rsidRPr="003306A6">
        <w:rPr>
          <w:sz w:val="24"/>
          <w:szCs w:val="24"/>
          <w:lang w:val="es-AR"/>
        </w:rPr>
        <w:t>/</w:t>
      </w:r>
      <w:r w:rsidR="00AA1FE2">
        <w:rPr>
          <w:sz w:val="24"/>
          <w:szCs w:val="24"/>
          <w:lang w:val="es-AR"/>
        </w:rPr>
        <w:t>1</w:t>
      </w:r>
      <w:r w:rsidR="00BC0762">
        <w:rPr>
          <w:sz w:val="24"/>
          <w:szCs w:val="24"/>
          <w:lang w:val="es-AR"/>
        </w:rPr>
        <w:t>3</w:t>
      </w:r>
    </w:p>
    <w:p w:rsidR="00C8250C" w:rsidRPr="00C07F6B" w:rsidRDefault="00AB66EA" w:rsidP="000A12DF">
      <w:pPr>
        <w:pStyle w:val="Ttulo2"/>
        <w:spacing w:line="260" w:lineRule="exact"/>
        <w:rPr>
          <w:color w:val="339966"/>
          <w:szCs w:val="24"/>
        </w:rPr>
      </w:pPr>
      <w:r>
        <w:rPr>
          <w:color w:val="339966"/>
          <w:szCs w:val="24"/>
        </w:rPr>
        <w:t xml:space="preserve">A N E X O  </w:t>
      </w: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6919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"/>
        <w:gridCol w:w="973"/>
        <w:gridCol w:w="587"/>
        <w:gridCol w:w="728"/>
        <w:gridCol w:w="289"/>
        <w:gridCol w:w="3273"/>
        <w:gridCol w:w="98"/>
        <w:gridCol w:w="904"/>
      </w:tblGrid>
      <w:tr w:rsidR="00D15B61" w:rsidRPr="003306A6" w:rsidTr="005F5D84">
        <w:tblPrEx>
          <w:tblCellMar>
            <w:top w:w="0" w:type="dxa"/>
            <w:bottom w:w="0" w:type="dxa"/>
          </w:tblCellMar>
        </w:tblPrEx>
        <w:trPr>
          <w:gridBefore w:val="2"/>
          <w:wBefore w:w="1040" w:type="dxa"/>
          <w:jc w:val="center"/>
        </w:trPr>
        <w:tc>
          <w:tcPr>
            <w:tcW w:w="1604" w:type="dxa"/>
            <w:gridSpan w:val="3"/>
            <w:tcBorders>
              <w:bottom w:val="single" w:sz="4" w:space="0" w:color="auto"/>
            </w:tcBorders>
          </w:tcPr>
          <w:p w:rsidR="00D15B61" w:rsidRPr="003306A6" w:rsidRDefault="00D15B61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4275" w:type="dxa"/>
            <w:gridSpan w:val="3"/>
            <w:tcBorders>
              <w:bottom w:val="single" w:sz="4" w:space="0" w:color="auto"/>
            </w:tcBorders>
          </w:tcPr>
          <w:p w:rsidR="00D15B61" w:rsidRPr="003306A6" w:rsidRDefault="00D15B61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D15B61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90" w:type="dxa"/>
            <w:gridSpan w:val="3"/>
          </w:tcPr>
          <w:p w:rsidR="00D15B61" w:rsidRPr="00D15B61" w:rsidRDefault="00D15B61" w:rsidP="00D15B61"/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12352</w:t>
            </w:r>
          </w:p>
          <w:p w:rsidR="00165134" w:rsidRDefault="00165134" w:rsidP="00165134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9291</w:t>
            </w:r>
          </w:p>
          <w:p w:rsidR="00165134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12863</w:t>
            </w:r>
          </w:p>
          <w:p w:rsidR="00165134" w:rsidRPr="00987BD5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11713</w:t>
            </w:r>
          </w:p>
        </w:tc>
        <w:tc>
          <w:tcPr>
            <w:tcW w:w="4290" w:type="dxa"/>
            <w:gridSpan w:val="3"/>
          </w:tcPr>
          <w:p w:rsidR="00BC0762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BRIGUEZ, Cristian</w:t>
            </w:r>
          </w:p>
          <w:p w:rsidR="00BC0762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CESETTI, Ángela</w:t>
            </w:r>
          </w:p>
          <w:p w:rsidR="00BC0762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CARDOSO, Virginia</w:t>
            </w:r>
          </w:p>
          <w:p w:rsidR="00D15B61" w:rsidRPr="00BC0762" w:rsidRDefault="00D15B61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 w:rsidRPr="00BC0762">
              <w:rPr>
                <w:color w:val="auto"/>
                <w:sz w:val="24"/>
                <w:szCs w:val="24"/>
              </w:rPr>
              <w:t>COLLAZOS, Diego S.</w:t>
            </w:r>
          </w:p>
        </w:tc>
      </w:tr>
      <w:tr w:rsidR="00D15B61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165134" w:rsidP="00165134">
            <w:pPr>
              <w:spacing w:line="260" w:lineRule="exac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      9701</w:t>
            </w:r>
          </w:p>
          <w:p w:rsidR="00165134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12359</w:t>
            </w:r>
          </w:p>
          <w:p w:rsidR="00165134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10079</w:t>
            </w:r>
          </w:p>
          <w:p w:rsidR="00165134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10935</w:t>
            </w:r>
          </w:p>
          <w:p w:rsidR="00165134" w:rsidRPr="00A6655D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11811</w:t>
            </w:r>
          </w:p>
        </w:tc>
        <w:tc>
          <w:tcPr>
            <w:tcW w:w="4290" w:type="dxa"/>
            <w:gridSpan w:val="3"/>
          </w:tcPr>
          <w:p w:rsidR="00BC0762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DÍAZ, Gabriela</w:t>
            </w:r>
          </w:p>
          <w:p w:rsid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DIETZ, Sebastián </w:t>
            </w:r>
          </w:p>
          <w:p w:rsidR="00BE70E5" w:rsidRPr="00BC0762" w:rsidRDefault="00BE70E5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ESCUDERO, Maximiliano</w:t>
            </w:r>
          </w:p>
          <w:p w:rsidR="00BC0762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ETCHEBERT, Mariana</w:t>
            </w:r>
          </w:p>
          <w:p w:rsidR="00D15B61" w:rsidRPr="00BC0762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BC076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FERNANDEZ, Diego R. 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11707</w:t>
            </w:r>
          </w:p>
          <w:p w:rsidR="00165134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11597</w:t>
            </w:r>
          </w:p>
          <w:p w:rsidR="00165134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11031</w:t>
            </w:r>
          </w:p>
          <w:p w:rsidR="00165134" w:rsidRPr="00987BD5" w:rsidRDefault="00165134" w:rsidP="00165134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9482</w:t>
            </w:r>
          </w:p>
        </w:tc>
        <w:tc>
          <w:tcPr>
            <w:tcW w:w="4290" w:type="dxa"/>
            <w:gridSpan w:val="3"/>
          </w:tcPr>
          <w:p w:rsidR="00BC0762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FLORES CHOQUE, Damián</w:t>
            </w:r>
          </w:p>
          <w:p w:rsidR="00BC0762" w:rsidRPr="00BC0762" w:rsidRDefault="00BC0762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 w:rsidRPr="00BC0762">
              <w:rPr>
                <w:bCs w:val="0"/>
                <w:sz w:val="24"/>
                <w:szCs w:val="24"/>
              </w:rPr>
              <w:t>KOMANSKI, Nicolás</w:t>
            </w:r>
            <w:r w:rsidRPr="00BC0762">
              <w:rPr>
                <w:color w:val="auto"/>
                <w:sz w:val="24"/>
                <w:szCs w:val="24"/>
              </w:rPr>
              <w:t xml:space="preserve"> </w:t>
            </w:r>
          </w:p>
          <w:p w:rsidR="00BC0762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MARTÍNEZ, Natalia</w:t>
            </w:r>
          </w:p>
          <w:p w:rsidR="00D15B61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NILL, Natalia Noelia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165134" w:rsidRPr="00987BD5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13015</w:t>
            </w:r>
          </w:p>
        </w:tc>
        <w:tc>
          <w:tcPr>
            <w:tcW w:w="4290" w:type="dxa"/>
            <w:gridSpan w:val="3"/>
          </w:tcPr>
          <w:p w:rsidR="00D15B61" w:rsidRPr="00BC0762" w:rsidRDefault="00BC0762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>SCHWINDT, Diego</w:t>
            </w:r>
          </w:p>
        </w:tc>
      </w:tr>
      <w:tr w:rsidR="00BC0762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BC0762" w:rsidRDefault="00165134" w:rsidP="0016513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11034</w:t>
            </w:r>
          </w:p>
        </w:tc>
        <w:tc>
          <w:tcPr>
            <w:tcW w:w="4290" w:type="dxa"/>
            <w:gridSpan w:val="3"/>
          </w:tcPr>
          <w:p w:rsidR="00BC0762" w:rsidRPr="00BC0762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76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WAINER, Nadia </w:t>
            </w:r>
          </w:p>
        </w:tc>
      </w:tr>
      <w:tr w:rsidR="00BC0762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BC0762" w:rsidRDefault="00BC0762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90" w:type="dxa"/>
            <w:gridSpan w:val="3"/>
          </w:tcPr>
          <w:p w:rsidR="00BC0762" w:rsidRPr="00283FBC" w:rsidRDefault="00BC0762" w:rsidP="00BE70E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0762" w:rsidRPr="00987BD5" w:rsidTr="00D9177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trHeight w:val="263"/>
          <w:jc w:val="center"/>
        </w:trPr>
        <w:tc>
          <w:tcPr>
            <w:tcW w:w="1560" w:type="dxa"/>
            <w:gridSpan w:val="2"/>
          </w:tcPr>
          <w:p w:rsidR="00BC0762" w:rsidRDefault="00BC0762" w:rsidP="00D9177A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90" w:type="dxa"/>
            <w:gridSpan w:val="3"/>
          </w:tcPr>
          <w:p w:rsidR="00BC0762" w:rsidRPr="00283FBC" w:rsidRDefault="00BC0762" w:rsidP="00BC07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0762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BC0762" w:rsidRDefault="00BC0762" w:rsidP="00D9177A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90" w:type="dxa"/>
            <w:gridSpan w:val="3"/>
          </w:tcPr>
          <w:p w:rsidR="00BC0762" w:rsidRPr="00283FBC" w:rsidRDefault="00BC0762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0762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BC0762" w:rsidRDefault="00BC0762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90" w:type="dxa"/>
            <w:gridSpan w:val="3"/>
          </w:tcPr>
          <w:p w:rsidR="00BC0762" w:rsidRPr="00283FBC" w:rsidRDefault="00BC0762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0762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BC0762" w:rsidRDefault="00BC0762" w:rsidP="00D9177A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90" w:type="dxa"/>
            <w:gridSpan w:val="3"/>
          </w:tcPr>
          <w:p w:rsidR="00BC0762" w:rsidRPr="00283FBC" w:rsidRDefault="00BC0762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0762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04" w:type="dxa"/>
          <w:jc w:val="center"/>
        </w:trPr>
        <w:tc>
          <w:tcPr>
            <w:tcW w:w="2355" w:type="dxa"/>
            <w:gridSpan w:val="4"/>
          </w:tcPr>
          <w:p w:rsidR="00BC0762" w:rsidRPr="00987BD5" w:rsidRDefault="00BC0762" w:rsidP="005F5D8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0" w:type="dxa"/>
            <w:gridSpan w:val="3"/>
          </w:tcPr>
          <w:p w:rsidR="00BC0762" w:rsidRPr="00987BD5" w:rsidRDefault="00BC0762" w:rsidP="00D15B6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C0762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04" w:type="dxa"/>
          <w:jc w:val="center"/>
        </w:trPr>
        <w:tc>
          <w:tcPr>
            <w:tcW w:w="2355" w:type="dxa"/>
            <w:gridSpan w:val="4"/>
          </w:tcPr>
          <w:p w:rsidR="00BC0762" w:rsidRDefault="00BC0762" w:rsidP="005F5D8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0" w:type="dxa"/>
            <w:gridSpan w:val="3"/>
          </w:tcPr>
          <w:p w:rsidR="00BC0762" w:rsidRDefault="00BC0762" w:rsidP="00D15B6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</w:rPr>
      </w:pPr>
    </w:p>
    <w:sectPr w:rsidR="00C8250C" w:rsidRPr="00173580" w:rsidSect="000178EF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178EF"/>
    <w:rsid w:val="00020DD0"/>
    <w:rsid w:val="000233AF"/>
    <w:rsid w:val="00055F39"/>
    <w:rsid w:val="000A12DF"/>
    <w:rsid w:val="000C2C2A"/>
    <w:rsid w:val="000D0584"/>
    <w:rsid w:val="000E1810"/>
    <w:rsid w:val="00130D26"/>
    <w:rsid w:val="001442BD"/>
    <w:rsid w:val="00146F0F"/>
    <w:rsid w:val="00165134"/>
    <w:rsid w:val="00173580"/>
    <w:rsid w:val="001803DA"/>
    <w:rsid w:val="00190F18"/>
    <w:rsid w:val="001C193F"/>
    <w:rsid w:val="001E46DA"/>
    <w:rsid w:val="001E74EC"/>
    <w:rsid w:val="001F68F5"/>
    <w:rsid w:val="002112A4"/>
    <w:rsid w:val="00244B08"/>
    <w:rsid w:val="00266A90"/>
    <w:rsid w:val="00277422"/>
    <w:rsid w:val="00283FBC"/>
    <w:rsid w:val="002C2CCA"/>
    <w:rsid w:val="002D6FDE"/>
    <w:rsid w:val="002E6D6D"/>
    <w:rsid w:val="00301343"/>
    <w:rsid w:val="003306A6"/>
    <w:rsid w:val="003531F0"/>
    <w:rsid w:val="003A2F4D"/>
    <w:rsid w:val="00410F5A"/>
    <w:rsid w:val="00412AD4"/>
    <w:rsid w:val="00412E15"/>
    <w:rsid w:val="0042628A"/>
    <w:rsid w:val="00433DB7"/>
    <w:rsid w:val="00443390"/>
    <w:rsid w:val="00447765"/>
    <w:rsid w:val="00452D1C"/>
    <w:rsid w:val="00455C9B"/>
    <w:rsid w:val="00475B21"/>
    <w:rsid w:val="00483E19"/>
    <w:rsid w:val="004D3B51"/>
    <w:rsid w:val="004E301C"/>
    <w:rsid w:val="00507FDE"/>
    <w:rsid w:val="00554167"/>
    <w:rsid w:val="00595FC8"/>
    <w:rsid w:val="005D566F"/>
    <w:rsid w:val="005F25E3"/>
    <w:rsid w:val="005F5D84"/>
    <w:rsid w:val="006228F8"/>
    <w:rsid w:val="0066593F"/>
    <w:rsid w:val="00675F08"/>
    <w:rsid w:val="006853D1"/>
    <w:rsid w:val="006C01D0"/>
    <w:rsid w:val="006E71DF"/>
    <w:rsid w:val="00736713"/>
    <w:rsid w:val="00757CAB"/>
    <w:rsid w:val="00767DD9"/>
    <w:rsid w:val="007971E4"/>
    <w:rsid w:val="007C1A29"/>
    <w:rsid w:val="007E0127"/>
    <w:rsid w:val="008272F0"/>
    <w:rsid w:val="00831CA5"/>
    <w:rsid w:val="00843AE4"/>
    <w:rsid w:val="00891553"/>
    <w:rsid w:val="008A1452"/>
    <w:rsid w:val="008F2FAE"/>
    <w:rsid w:val="008F5707"/>
    <w:rsid w:val="009240CD"/>
    <w:rsid w:val="00931B16"/>
    <w:rsid w:val="00987BD5"/>
    <w:rsid w:val="009A08A7"/>
    <w:rsid w:val="009D36D5"/>
    <w:rsid w:val="00A240E2"/>
    <w:rsid w:val="00A6655D"/>
    <w:rsid w:val="00A77B8E"/>
    <w:rsid w:val="00A90376"/>
    <w:rsid w:val="00AA1FE2"/>
    <w:rsid w:val="00AB3919"/>
    <w:rsid w:val="00AB66EA"/>
    <w:rsid w:val="00AC56F5"/>
    <w:rsid w:val="00AF611A"/>
    <w:rsid w:val="00B64FBB"/>
    <w:rsid w:val="00B73E94"/>
    <w:rsid w:val="00B8214E"/>
    <w:rsid w:val="00BB1AD6"/>
    <w:rsid w:val="00BC0762"/>
    <w:rsid w:val="00BC0ACB"/>
    <w:rsid w:val="00BE70E5"/>
    <w:rsid w:val="00C07F6B"/>
    <w:rsid w:val="00C8250C"/>
    <w:rsid w:val="00C84872"/>
    <w:rsid w:val="00C8688C"/>
    <w:rsid w:val="00C914D7"/>
    <w:rsid w:val="00C92877"/>
    <w:rsid w:val="00CB2C63"/>
    <w:rsid w:val="00CF2EA6"/>
    <w:rsid w:val="00D15B61"/>
    <w:rsid w:val="00D27706"/>
    <w:rsid w:val="00D861BD"/>
    <w:rsid w:val="00D90845"/>
    <w:rsid w:val="00D9177A"/>
    <w:rsid w:val="00D93479"/>
    <w:rsid w:val="00DE2C94"/>
    <w:rsid w:val="00E006EA"/>
    <w:rsid w:val="00E20601"/>
    <w:rsid w:val="00E23E42"/>
    <w:rsid w:val="00E31B32"/>
    <w:rsid w:val="00E414D7"/>
    <w:rsid w:val="00E42169"/>
    <w:rsid w:val="00E4219F"/>
    <w:rsid w:val="00E7453B"/>
    <w:rsid w:val="00EA23DF"/>
    <w:rsid w:val="00EB4AF4"/>
    <w:rsid w:val="00F702C1"/>
    <w:rsid w:val="00F85BAE"/>
    <w:rsid w:val="00FA0E22"/>
    <w:rsid w:val="00FA1333"/>
    <w:rsid w:val="00FE3B6D"/>
    <w:rsid w:val="00FE6F2D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A4174-827A-40D5-9DCB-CA4F4AB14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2014-02-14T15:02:00Z</cp:lastPrinted>
  <dcterms:created xsi:type="dcterms:W3CDTF">2025-07-06T17:41:00Z</dcterms:created>
  <dcterms:modified xsi:type="dcterms:W3CDTF">2025-07-06T17:41:00Z</dcterms:modified>
</cp:coreProperties>
</file>