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9B15A8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E73772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E73772">
        <w:rPr>
          <w:lang w:val="es-AR"/>
        </w:rPr>
        <w:t>61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B15A8" w:rsidRPr="009B15A8" w:rsidRDefault="009B15A8" w:rsidP="009B15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BAHIA BLANCA</w:t>
      </w:r>
      <w:r w:rsidRPr="009B15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  <w:proofErr w:type="gramStart"/>
      <w:r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>VISTO :</w:t>
      </w:r>
      <w:proofErr w:type="gramEnd"/>
      <w:r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nota presentada por el Presidente de la 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Sociedad Argentina de Informática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solicitando el auspicio de esta unidad académica para la realización de la 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43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JAIIO, Cuadragésimo 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Terceras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Jornadas Argentinas de Informática;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jc w:val="both"/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9B15A8"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Eventos de Interés Universitario </w:t>
      </w:r>
      <w:r w:rsidRPr="009B15A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CU-192/94;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9B15A8"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Declaración de Eventos de Interés para el Departamento de Ciencias de la Computación </w:t>
      </w:r>
      <w:r w:rsidRPr="009B15A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CDCC-137/01; y</w:t>
      </w: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una parte considerable de la temática del programa tiene vinculación con algunos de los proyectos de investigación de este Departamento;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se analizó la solicitud y sugirió aunar criterios con el resto de las universidades que conforman la Red Nacional de Universidades con Carreras de Informática;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su reunión de </w:t>
      </w:r>
      <w: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fecha 01 de abril de 2014</w:t>
      </w: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center"/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  <w:t>R E S U E L V E :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Otorgar auspicio académico para la realización de la 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43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JAIIO, Cuadragésimo 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Terceras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Jornadas Argentinas de Informática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,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desarrollarse entre los días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1 y 5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septiembre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del corriente año, en la ciudad de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Buenos Aires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9B15A8" w:rsidRPr="009B15A8" w:rsidRDefault="009B15A8" w:rsidP="009B15A8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9B15A8" w:rsidRPr="009B15A8" w:rsidRDefault="009B15A8" w:rsidP="009B15A8">
      <w:pPr>
        <w:keepNext/>
        <w:jc w:val="both"/>
        <w:outlineLvl w:val="2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Regístrese; comuníquese; pase a la Secretaría General Académica para su conocimiento; cumplido, archívese.-----------------------------------------------------------------------</w:t>
      </w: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5F1B0E" w:rsidRDefault="005F1B0E" w:rsidP="009B15A8">
      <w:pPr>
        <w:widowControl w:val="0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02123"/>
    <w:rsid w:val="0029482E"/>
    <w:rsid w:val="002B2E4F"/>
    <w:rsid w:val="00317DDE"/>
    <w:rsid w:val="0039653B"/>
    <w:rsid w:val="00427C9D"/>
    <w:rsid w:val="004B759E"/>
    <w:rsid w:val="004C7022"/>
    <w:rsid w:val="004F49C1"/>
    <w:rsid w:val="0055010D"/>
    <w:rsid w:val="0056001E"/>
    <w:rsid w:val="00580A76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9B15A8"/>
    <w:rsid w:val="009C773B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E1537"/>
    <w:rsid w:val="00D605ED"/>
    <w:rsid w:val="00D8788B"/>
    <w:rsid w:val="00DB066B"/>
    <w:rsid w:val="00E110C2"/>
    <w:rsid w:val="00E7377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2025-07-06T17:47:00Z</dcterms:created>
  <dcterms:modified xsi:type="dcterms:W3CDTF">2025-07-06T17:47:00Z</dcterms:modified>
</cp:coreProperties>
</file>