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D" w:rsidRDefault="00DA7A31">
      <w:pPr>
        <w:pStyle w:val="Ttulo2"/>
        <w:rPr>
          <w:color w:val="000000"/>
          <w:lang w:val="es-ES"/>
        </w:rPr>
      </w:pPr>
      <w:r>
        <w:rPr>
          <w:color w:val="000000"/>
          <w:lang w:val="es-ES"/>
        </w:rPr>
        <w:t xml:space="preserve">REGISTRADO BAJO Nº </w:t>
      </w:r>
      <w:r w:rsidR="00F62B03">
        <w:rPr>
          <w:color w:val="000000"/>
          <w:lang w:val="es-ES"/>
        </w:rPr>
        <w:t>C</w:t>
      </w:r>
      <w:r w:rsidR="0014123D">
        <w:rPr>
          <w:color w:val="000000"/>
          <w:lang w:val="es-ES"/>
        </w:rPr>
        <w:t>DCIC-</w:t>
      </w:r>
      <w:r w:rsidR="007C146E">
        <w:rPr>
          <w:color w:val="000000"/>
          <w:lang w:val="es-ES"/>
        </w:rPr>
        <w:t>191</w:t>
      </w:r>
      <w:r w:rsidR="0014123D">
        <w:rPr>
          <w:color w:val="000000"/>
          <w:lang w:val="es-ES"/>
        </w:rPr>
        <w:t>/</w:t>
      </w:r>
      <w:r w:rsidR="0011687E">
        <w:rPr>
          <w:color w:val="000000"/>
          <w:lang w:val="es-ES"/>
        </w:rPr>
        <w:t>1</w:t>
      </w:r>
      <w:r w:rsidR="00D576F7">
        <w:rPr>
          <w:color w:val="000000"/>
          <w:lang w:val="es-ES"/>
        </w:rPr>
        <w:t>4</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 w:val="left" w:pos="5670"/>
        </w:tabs>
        <w:ind w:firstLine="5670"/>
        <w:jc w:val="both"/>
        <w:rPr>
          <w:rFonts w:ascii="Arial" w:hAnsi="Arial"/>
          <w:b/>
          <w:color w:val="000000"/>
          <w:sz w:val="24"/>
        </w:rPr>
      </w:pPr>
      <w:r>
        <w:rPr>
          <w:rFonts w:ascii="Arial" w:hAnsi="Arial"/>
          <w:b/>
          <w:color w:val="000000"/>
          <w:sz w:val="24"/>
        </w:rPr>
        <w:t xml:space="preserve">BAHIA BLANCA, </w:t>
      </w:r>
    </w:p>
    <w:p w:rsidR="0014123D" w:rsidRDefault="0014123D">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14123D" w:rsidRDefault="0014123D">
      <w:pPr>
        <w:ind w:right="-29"/>
        <w:jc w:val="both"/>
        <w:rPr>
          <w:rFonts w:ascii="Arial" w:hAnsi="Arial"/>
          <w:color w:val="000000"/>
          <w:sz w:val="24"/>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Que los posgrados académicos de la Universidad Nacional del Sur (UNS) se encuentran reglamentados por la Res. CSU 512/2012;</w:t>
      </w: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Que es atribución de esta Unidad Académica fijar pautas que regulen el adecuado funcionamiento del Programa de Posgrado en Ciencias de la Computación, en el marco del funcionamiento de la  Comisión Asesora del Programa de Posgrado en Ciencias e Ingeniería de la Computación (CAPPCIC), tal como lo e</w:t>
      </w:r>
      <w:r>
        <w:rPr>
          <w:rFonts w:ascii="Arial" w:hAnsi="Arial"/>
          <w:color w:val="auto"/>
          <w:sz w:val="24"/>
          <w:lang w:eastAsia="es-ES"/>
        </w:rPr>
        <w:t>stablece la Res. CDCIC 223/2011;</w:t>
      </w: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 xml:space="preserve">Que la Res. CDCIC 223/2011 en su Art. 6, inc. e), faculta a la CAPPCIC a expedirse con recomendaciones vinculadas a las actividades de posgrado que se realizan en el ámbito de esta Unidad Académica; y </w:t>
      </w:r>
    </w:p>
    <w:p w:rsidR="00F44210" w:rsidRPr="00D20FC2" w:rsidRDefault="00F44210" w:rsidP="00F44210">
      <w:pPr>
        <w:overflowPunct w:val="0"/>
        <w:autoSpaceDE w:val="0"/>
        <w:autoSpaceDN w:val="0"/>
        <w:adjustRightInd w:val="0"/>
        <w:jc w:val="both"/>
        <w:textAlignment w:val="baseline"/>
        <w:rPr>
          <w:rFonts w:ascii="Arial" w:hAnsi="Arial"/>
          <w:color w:val="auto"/>
          <w:sz w:val="24"/>
          <w:lang w:val="es-ES_tradnl" w:eastAsia="es-ES"/>
        </w:rPr>
      </w:pPr>
    </w:p>
    <w:p w:rsidR="00F44210" w:rsidRPr="00D20FC2" w:rsidRDefault="00F44210" w:rsidP="00F44210">
      <w:pPr>
        <w:overflowPunct w:val="0"/>
        <w:autoSpaceDE w:val="0"/>
        <w:autoSpaceDN w:val="0"/>
        <w:adjustRightInd w:val="0"/>
        <w:textAlignment w:val="baseline"/>
        <w:rPr>
          <w:rFonts w:ascii="Arial" w:hAnsi="Arial"/>
          <w:b/>
          <w:color w:val="auto"/>
          <w:sz w:val="24"/>
          <w:lang w:val="es-ES_tradnl" w:eastAsia="es-ES"/>
        </w:rPr>
      </w:pPr>
      <w:r w:rsidRPr="00D20FC2">
        <w:rPr>
          <w:rFonts w:ascii="Arial" w:hAnsi="Arial"/>
          <w:b/>
          <w:color w:val="auto"/>
          <w:sz w:val="24"/>
          <w:lang w:val="es-ES_tradnl" w:eastAsia="es-ES"/>
        </w:rPr>
        <w:t>CONSIDERANDO:</w:t>
      </w:r>
    </w:p>
    <w:p w:rsidR="00F44210" w:rsidRPr="00D20FC2" w:rsidRDefault="00F44210" w:rsidP="00F44210">
      <w:pPr>
        <w:overflowPunct w:val="0"/>
        <w:autoSpaceDE w:val="0"/>
        <w:autoSpaceDN w:val="0"/>
        <w:adjustRightInd w:val="0"/>
        <w:jc w:val="both"/>
        <w:textAlignment w:val="baseline"/>
        <w:rPr>
          <w:rFonts w:ascii="Arial" w:hAnsi="Arial"/>
          <w:color w:val="auto"/>
          <w:sz w:val="24"/>
          <w:lang w:val="es-ES_tradnl" w:eastAsia="es-ES"/>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Que la CONEAU evalúa las carreras de posgrado en los procesos de acreditación considerando, entre otras cosas, la cantidad de tesis terminadas en relación a la cantidad de tesis en desarrollo;</w:t>
      </w: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Que los procesos de acreditación que lleva adelante la CONEAU consideran también el impacto de los cursos dictados en el ámbito de esta Unidad Académica en relación al Programa de Posgrado en Ciencias</w:t>
      </w:r>
      <w:r>
        <w:rPr>
          <w:rFonts w:ascii="Arial" w:hAnsi="Arial"/>
          <w:color w:val="auto"/>
          <w:sz w:val="24"/>
          <w:lang w:eastAsia="es-ES"/>
        </w:rPr>
        <w:t xml:space="preserve"> e Ingeniería de la Computación;</w:t>
      </w: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ind w:firstLine="851"/>
        <w:jc w:val="both"/>
        <w:textAlignment w:val="baseline"/>
        <w:rPr>
          <w:rFonts w:ascii="Arial" w:hAnsi="Arial"/>
          <w:color w:val="auto"/>
          <w:sz w:val="24"/>
          <w:lang w:eastAsia="es-ES"/>
        </w:rPr>
      </w:pPr>
      <w:r w:rsidRPr="0034655C">
        <w:rPr>
          <w:rFonts w:ascii="Arial" w:hAnsi="Arial"/>
          <w:color w:val="auto"/>
          <w:sz w:val="24"/>
          <w:lang w:eastAsia="es-ES"/>
        </w:rPr>
        <w:t>Que atendiendo a lo recomendado oportunamente por la CAPPCIC resulta aconsejable establecer un límite para los Directores de Tesis en la cantidad de tesistas dirigidos con tesis en desarrollo, dentro de un marco de razonabilidad que garantice el normal desenvolvimiento de las actividades de los tesistas, y tienda a asegurar la culminación de sus trabajos de tesis en un tiempo razonable;</w:t>
      </w:r>
    </w:p>
    <w:p w:rsidR="00F44210" w:rsidRPr="00D20FC2" w:rsidRDefault="00F44210" w:rsidP="00F44210">
      <w:pPr>
        <w:overflowPunct w:val="0"/>
        <w:autoSpaceDE w:val="0"/>
        <w:autoSpaceDN w:val="0"/>
        <w:adjustRightInd w:val="0"/>
        <w:jc w:val="both"/>
        <w:textAlignment w:val="baseline"/>
        <w:rPr>
          <w:rFonts w:ascii="Arial" w:hAnsi="Arial"/>
          <w:color w:val="auto"/>
          <w:sz w:val="24"/>
          <w:lang w:eastAsia="es-ES"/>
        </w:rPr>
      </w:pPr>
    </w:p>
    <w:p w:rsidR="00F44210" w:rsidRPr="00D20FC2" w:rsidRDefault="00F44210" w:rsidP="00F44210">
      <w:pPr>
        <w:overflowPunct w:val="0"/>
        <w:autoSpaceDE w:val="0"/>
        <w:autoSpaceDN w:val="0"/>
        <w:adjustRightInd w:val="0"/>
        <w:jc w:val="both"/>
        <w:textAlignment w:val="baseline"/>
        <w:rPr>
          <w:rFonts w:ascii="Arial" w:hAnsi="Arial"/>
          <w:b/>
          <w:color w:val="auto"/>
          <w:sz w:val="24"/>
          <w:lang w:val="es-ES_tradnl" w:eastAsia="es-ES"/>
        </w:rPr>
      </w:pPr>
      <w:r w:rsidRPr="00D20FC2">
        <w:rPr>
          <w:rFonts w:ascii="Arial" w:hAnsi="Arial"/>
          <w:b/>
          <w:color w:val="auto"/>
          <w:sz w:val="24"/>
          <w:lang w:val="es-ES_tradnl" w:eastAsia="es-ES"/>
        </w:rPr>
        <w:t>POR ELLO,</w:t>
      </w:r>
    </w:p>
    <w:p w:rsidR="00F44210" w:rsidRPr="00D20FC2" w:rsidRDefault="00F44210" w:rsidP="00F44210">
      <w:pPr>
        <w:overflowPunct w:val="0"/>
        <w:autoSpaceDE w:val="0"/>
        <w:autoSpaceDN w:val="0"/>
        <w:adjustRightInd w:val="0"/>
        <w:ind w:firstLine="1418"/>
        <w:jc w:val="both"/>
        <w:textAlignment w:val="baseline"/>
        <w:rPr>
          <w:rFonts w:ascii="Arial" w:hAnsi="Arial"/>
          <w:b/>
          <w:color w:val="auto"/>
          <w:sz w:val="24"/>
          <w:lang w:val="es-ES_tradnl" w:eastAsia="es-ES"/>
        </w:rPr>
      </w:pPr>
    </w:p>
    <w:p w:rsidR="00F44210" w:rsidRPr="00D20FC2" w:rsidRDefault="00F44210" w:rsidP="00F44210">
      <w:pPr>
        <w:overflowPunct w:val="0"/>
        <w:autoSpaceDE w:val="0"/>
        <w:autoSpaceDN w:val="0"/>
        <w:adjustRightInd w:val="0"/>
        <w:ind w:firstLine="1418"/>
        <w:jc w:val="both"/>
        <w:textAlignment w:val="baseline"/>
        <w:rPr>
          <w:rFonts w:ascii="Arial" w:hAnsi="Arial"/>
          <w:b/>
          <w:bCs/>
          <w:color w:val="auto"/>
          <w:sz w:val="24"/>
          <w:lang w:val="es-ES_tradnl" w:eastAsia="es-ES"/>
        </w:rPr>
      </w:pPr>
      <w:r w:rsidRPr="00D20FC2">
        <w:rPr>
          <w:rFonts w:ascii="Arial" w:hAnsi="Arial"/>
          <w:b/>
          <w:bCs/>
          <w:color w:val="auto"/>
          <w:sz w:val="24"/>
          <w:lang w:val="es-ES_tradnl" w:eastAsia="es-ES"/>
        </w:rPr>
        <w:t>El Consejo Departamental de Ciencias e Ingeniería de la Computación en su reunión de f</w:t>
      </w:r>
      <w:r w:rsidR="00162AB4">
        <w:rPr>
          <w:rFonts w:ascii="Arial" w:hAnsi="Arial"/>
          <w:b/>
          <w:bCs/>
          <w:color w:val="auto"/>
          <w:sz w:val="24"/>
          <w:lang w:val="es-ES_tradnl" w:eastAsia="es-ES"/>
        </w:rPr>
        <w:t>echa 02</w:t>
      </w:r>
      <w:r w:rsidRPr="00D20FC2">
        <w:rPr>
          <w:rFonts w:ascii="Arial" w:hAnsi="Arial"/>
          <w:b/>
          <w:bCs/>
          <w:color w:val="auto"/>
          <w:sz w:val="24"/>
          <w:lang w:val="es-ES_tradnl" w:eastAsia="es-ES"/>
        </w:rPr>
        <w:t xml:space="preserve"> de </w:t>
      </w:r>
      <w:r w:rsidR="00162AB4">
        <w:rPr>
          <w:rFonts w:ascii="Arial" w:hAnsi="Arial"/>
          <w:b/>
          <w:bCs/>
          <w:color w:val="auto"/>
          <w:sz w:val="24"/>
          <w:lang w:val="es-ES_tradnl" w:eastAsia="es-ES"/>
        </w:rPr>
        <w:t>septiembre</w:t>
      </w:r>
      <w:r>
        <w:rPr>
          <w:rFonts w:ascii="Arial" w:hAnsi="Arial"/>
          <w:b/>
          <w:bCs/>
          <w:color w:val="auto"/>
          <w:sz w:val="24"/>
          <w:lang w:val="es-ES_tradnl" w:eastAsia="es-ES"/>
        </w:rPr>
        <w:t xml:space="preserve"> de 2014</w:t>
      </w:r>
      <w:r w:rsidRPr="00D20FC2">
        <w:rPr>
          <w:rFonts w:ascii="Arial" w:hAnsi="Arial"/>
          <w:b/>
          <w:bCs/>
          <w:color w:val="auto"/>
          <w:sz w:val="24"/>
          <w:lang w:val="es-ES_tradnl" w:eastAsia="es-ES"/>
        </w:rPr>
        <w:t xml:space="preserve">                        </w:t>
      </w:r>
    </w:p>
    <w:p w:rsidR="00F44210" w:rsidRPr="00D20FC2" w:rsidRDefault="00F44210" w:rsidP="00F44210">
      <w:pPr>
        <w:overflowPunct w:val="0"/>
        <w:autoSpaceDE w:val="0"/>
        <w:autoSpaceDN w:val="0"/>
        <w:adjustRightInd w:val="0"/>
        <w:ind w:firstLine="1418"/>
        <w:jc w:val="both"/>
        <w:textAlignment w:val="baseline"/>
        <w:rPr>
          <w:rFonts w:ascii="Arial" w:hAnsi="Arial"/>
          <w:b/>
          <w:color w:val="auto"/>
          <w:sz w:val="24"/>
          <w:lang w:val="es-ES_tradnl" w:eastAsia="es-ES"/>
        </w:rPr>
      </w:pPr>
    </w:p>
    <w:p w:rsidR="00F44210" w:rsidRPr="00D20FC2" w:rsidRDefault="00F44210" w:rsidP="00F44210">
      <w:pPr>
        <w:overflowPunct w:val="0"/>
        <w:autoSpaceDE w:val="0"/>
        <w:autoSpaceDN w:val="0"/>
        <w:adjustRightInd w:val="0"/>
        <w:jc w:val="center"/>
        <w:textAlignment w:val="baseline"/>
        <w:rPr>
          <w:rFonts w:ascii="Arial" w:hAnsi="Arial"/>
          <w:color w:val="auto"/>
          <w:sz w:val="24"/>
          <w:lang w:val="pt-BR" w:eastAsia="es-ES"/>
        </w:rPr>
      </w:pPr>
      <w:r w:rsidRPr="00D20FC2">
        <w:rPr>
          <w:rFonts w:ascii="Arial" w:hAnsi="Arial"/>
          <w:b/>
          <w:color w:val="auto"/>
          <w:sz w:val="24"/>
          <w:lang w:val="pt-BR" w:eastAsia="es-ES"/>
        </w:rPr>
        <w:t>R E S U E L V E :</w:t>
      </w:r>
    </w:p>
    <w:p w:rsidR="00F44210" w:rsidRPr="00D20FC2" w:rsidRDefault="00F44210" w:rsidP="00F44210">
      <w:pPr>
        <w:overflowPunct w:val="0"/>
        <w:autoSpaceDE w:val="0"/>
        <w:autoSpaceDN w:val="0"/>
        <w:adjustRightInd w:val="0"/>
        <w:textAlignment w:val="baseline"/>
        <w:rPr>
          <w:rFonts w:ascii="Arial" w:hAnsi="Arial"/>
          <w:color w:val="auto"/>
          <w:sz w:val="24"/>
          <w:lang w:val="pt-BR" w:eastAsia="es-ES"/>
        </w:rPr>
      </w:pPr>
    </w:p>
    <w:p w:rsidR="0034655C" w:rsidRPr="0034655C" w:rsidRDefault="00F44210" w:rsidP="0034655C">
      <w:pPr>
        <w:overflowPunct w:val="0"/>
        <w:autoSpaceDE w:val="0"/>
        <w:autoSpaceDN w:val="0"/>
        <w:adjustRightInd w:val="0"/>
        <w:jc w:val="both"/>
        <w:textAlignment w:val="baseline"/>
        <w:rPr>
          <w:rFonts w:ascii="Arial" w:hAnsi="Arial"/>
          <w:color w:val="auto"/>
          <w:sz w:val="24"/>
          <w:lang w:eastAsia="es-ES"/>
        </w:rPr>
      </w:pPr>
      <w:r w:rsidRPr="00D20FC2">
        <w:rPr>
          <w:rFonts w:ascii="Arial" w:hAnsi="Arial"/>
          <w:b/>
          <w:color w:val="auto"/>
          <w:sz w:val="24"/>
          <w:lang w:eastAsia="es-ES"/>
        </w:rPr>
        <w:t>Art. 1</w:t>
      </w:r>
      <w:r w:rsidRPr="00D20FC2">
        <w:rPr>
          <w:rFonts w:ascii="Arial" w:hAnsi="Arial"/>
          <w:b/>
          <w:color w:val="auto"/>
          <w:sz w:val="24"/>
          <w:lang w:val="es-ES_tradnl" w:eastAsia="es-ES"/>
        </w:rPr>
        <w:sym w:font="Symbol" w:char="F0B0"/>
      </w:r>
      <w:r w:rsidRPr="00D20FC2">
        <w:rPr>
          <w:rFonts w:ascii="Arial" w:hAnsi="Arial"/>
          <w:b/>
          <w:color w:val="auto"/>
          <w:sz w:val="24"/>
          <w:lang w:eastAsia="es-ES"/>
        </w:rPr>
        <w:t>)</w:t>
      </w:r>
      <w:r w:rsidRPr="00D20FC2">
        <w:rPr>
          <w:rFonts w:ascii="Arial" w:hAnsi="Arial"/>
          <w:color w:val="auto"/>
          <w:sz w:val="24"/>
          <w:lang w:eastAsia="es-ES"/>
        </w:rPr>
        <w:t xml:space="preserve">.- </w:t>
      </w:r>
      <w:r w:rsidR="0034655C" w:rsidRPr="0034655C">
        <w:rPr>
          <w:rFonts w:ascii="Arial" w:hAnsi="Arial"/>
          <w:color w:val="auto"/>
          <w:sz w:val="24"/>
          <w:lang w:eastAsia="es-ES"/>
        </w:rPr>
        <w:t>Se considerarán los siguientes requisitos como parte de la evaluación de admisibilidad de una inscripción a las carreras del Programa de Posgrado de Ciencias de la Computación:</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a) Sobre el </w:t>
      </w:r>
      <w:r w:rsidRPr="0034655C">
        <w:rPr>
          <w:rFonts w:ascii="Arial" w:hAnsi="Arial"/>
          <w:b/>
          <w:color w:val="auto"/>
          <w:sz w:val="24"/>
          <w:lang w:eastAsia="es-ES"/>
        </w:rPr>
        <w:t>Postulante</w:t>
      </w:r>
      <w:r w:rsidRPr="0034655C">
        <w:rPr>
          <w:rFonts w:ascii="Arial" w:hAnsi="Arial"/>
          <w:color w:val="auto"/>
          <w:sz w:val="24"/>
          <w:lang w:eastAsia="es-ES"/>
        </w:rPr>
        <w:t>: Todo postulante que solicite su inscripción a algún posgrado del DCIC deberá proponer al menos un director (o co-director) cuyo lugar de trabajo sea el Departamento de Ciencias e Ingeniería de la Computación (DCIC).</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 </w:t>
      </w:r>
    </w:p>
    <w:p w:rsidR="000A1A95"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b) Sobre el </w:t>
      </w:r>
      <w:r w:rsidRPr="0034655C">
        <w:rPr>
          <w:rFonts w:ascii="Arial" w:hAnsi="Arial"/>
          <w:b/>
          <w:color w:val="auto"/>
          <w:sz w:val="24"/>
          <w:lang w:eastAsia="es-ES"/>
        </w:rPr>
        <w:t>Director</w:t>
      </w:r>
      <w:r w:rsidRPr="0034655C">
        <w:rPr>
          <w:rFonts w:ascii="Arial" w:hAnsi="Arial"/>
          <w:color w:val="auto"/>
          <w:sz w:val="24"/>
          <w:lang w:eastAsia="es-ES"/>
        </w:rPr>
        <w:t xml:space="preserve">: Ningún director o co-director de tesis podrá tener más de 7 (siete) tesis doctorales o de maestría en desarrollo (incluyendo las dirigidas </w:t>
      </w:r>
      <w:r w:rsidR="000A1A95">
        <w:rPr>
          <w:rFonts w:ascii="Arial" w:hAnsi="Arial"/>
          <w:color w:val="auto"/>
          <w:sz w:val="24"/>
          <w:lang w:eastAsia="es-ES"/>
        </w:rPr>
        <w:t xml:space="preserve"> </w:t>
      </w:r>
      <w:r w:rsidRPr="0034655C">
        <w:rPr>
          <w:rFonts w:ascii="Arial" w:hAnsi="Arial"/>
          <w:color w:val="auto"/>
          <w:sz w:val="24"/>
          <w:lang w:eastAsia="es-ES"/>
        </w:rPr>
        <w:t xml:space="preserve">en </w:t>
      </w:r>
      <w:r w:rsidR="000A1A95">
        <w:rPr>
          <w:rFonts w:ascii="Arial" w:hAnsi="Arial"/>
          <w:color w:val="auto"/>
          <w:sz w:val="24"/>
          <w:lang w:eastAsia="es-ES"/>
        </w:rPr>
        <w:t xml:space="preserve"> </w:t>
      </w:r>
      <w:r w:rsidRPr="0034655C">
        <w:rPr>
          <w:rFonts w:ascii="Arial" w:hAnsi="Arial"/>
          <w:color w:val="auto"/>
          <w:sz w:val="24"/>
          <w:lang w:eastAsia="es-ES"/>
        </w:rPr>
        <w:t>otras</w:t>
      </w:r>
      <w:r w:rsidR="000A1A95">
        <w:rPr>
          <w:rFonts w:ascii="Arial" w:hAnsi="Arial"/>
          <w:color w:val="auto"/>
          <w:sz w:val="24"/>
          <w:lang w:eastAsia="es-ES"/>
        </w:rPr>
        <w:t xml:space="preserve"> </w:t>
      </w:r>
      <w:r w:rsidRPr="0034655C">
        <w:rPr>
          <w:rFonts w:ascii="Arial" w:hAnsi="Arial"/>
          <w:color w:val="auto"/>
          <w:sz w:val="24"/>
          <w:lang w:eastAsia="es-ES"/>
        </w:rPr>
        <w:t xml:space="preserve"> unidades </w:t>
      </w:r>
    </w:p>
    <w:p w:rsidR="000A1A95" w:rsidRDefault="000A1A95" w:rsidP="0034655C">
      <w:pPr>
        <w:overflowPunct w:val="0"/>
        <w:autoSpaceDE w:val="0"/>
        <w:autoSpaceDN w:val="0"/>
        <w:adjustRightInd w:val="0"/>
        <w:jc w:val="both"/>
        <w:textAlignment w:val="baseline"/>
        <w:rPr>
          <w:rFonts w:ascii="Arial" w:hAnsi="Arial"/>
          <w:color w:val="auto"/>
          <w:sz w:val="24"/>
          <w:lang w:eastAsia="es-ES"/>
        </w:rPr>
      </w:pPr>
    </w:p>
    <w:p w:rsidR="000A1A95" w:rsidRPr="000A1A95" w:rsidRDefault="000A1A95" w:rsidP="0034655C">
      <w:pPr>
        <w:overflowPunct w:val="0"/>
        <w:autoSpaceDE w:val="0"/>
        <w:autoSpaceDN w:val="0"/>
        <w:adjustRightInd w:val="0"/>
        <w:jc w:val="both"/>
        <w:textAlignment w:val="baseline"/>
        <w:rPr>
          <w:rFonts w:ascii="Arial" w:hAnsi="Arial"/>
          <w:b/>
          <w:color w:val="auto"/>
          <w:sz w:val="24"/>
          <w:lang w:eastAsia="es-ES"/>
        </w:rPr>
      </w:pPr>
      <w:r w:rsidRPr="000A1A95">
        <w:rPr>
          <w:rFonts w:ascii="Arial" w:hAnsi="Arial"/>
          <w:b/>
          <w:color w:val="auto"/>
          <w:sz w:val="24"/>
          <w:lang w:eastAsia="es-ES"/>
        </w:rPr>
        <w:lastRenderedPageBreak/>
        <w:t>///CDCIC-191/14</w:t>
      </w:r>
    </w:p>
    <w:p w:rsidR="000A1A95" w:rsidRDefault="000A1A95"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académicas de la UNS o fuera de la ella) al momento de solicitar la inscripción. Se considerarán “tesis en desarrollo” a todas aquellas iniciadas y aún no defendidas. </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c) Sobre el </w:t>
      </w:r>
      <w:r w:rsidRPr="0034655C">
        <w:rPr>
          <w:rFonts w:ascii="Arial" w:hAnsi="Arial"/>
          <w:b/>
          <w:color w:val="auto"/>
          <w:sz w:val="24"/>
          <w:lang w:eastAsia="es-ES"/>
        </w:rPr>
        <w:t>Plan de Cursos</w:t>
      </w:r>
      <w:r w:rsidRPr="0034655C">
        <w:rPr>
          <w:rFonts w:ascii="Arial" w:hAnsi="Arial"/>
          <w:color w:val="auto"/>
          <w:sz w:val="24"/>
          <w:lang w:eastAsia="es-ES"/>
        </w:rPr>
        <w:t>. El Plan de Cursos del tesista deberá incorporar un mínimo de:</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numPr>
          <w:ilvl w:val="0"/>
          <w:numId w:val="23"/>
        </w:num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180 horas de cursos y seminarios de posgrado dictados en el ámbito del DCIC por docentes del DCIC para el </w:t>
      </w:r>
      <w:r w:rsidRPr="0034655C">
        <w:rPr>
          <w:rFonts w:ascii="Arial" w:hAnsi="Arial"/>
          <w:b/>
          <w:i/>
          <w:color w:val="auto"/>
          <w:sz w:val="24"/>
          <w:lang w:eastAsia="es-ES"/>
        </w:rPr>
        <w:t>Doctorado en Ciencias de la Computación</w:t>
      </w:r>
      <w:r w:rsidRPr="0034655C">
        <w:rPr>
          <w:rFonts w:ascii="Arial" w:hAnsi="Arial"/>
          <w:color w:val="auto"/>
          <w:sz w:val="24"/>
          <w:lang w:eastAsia="es-ES"/>
        </w:rPr>
        <w:t>.</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numPr>
          <w:ilvl w:val="0"/>
          <w:numId w:val="23"/>
        </w:num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 xml:space="preserve">270 horas de cursos y seminarios de posgrado dictados en el ámbito del DCIC por docentes del DCIC para el </w:t>
      </w:r>
      <w:r w:rsidRPr="0034655C">
        <w:rPr>
          <w:rFonts w:ascii="Arial" w:hAnsi="Arial"/>
          <w:b/>
          <w:i/>
          <w:color w:val="auto"/>
          <w:sz w:val="24"/>
          <w:lang w:eastAsia="es-ES"/>
        </w:rPr>
        <w:t>Magister en Ciencias de la Computación</w:t>
      </w:r>
      <w:r w:rsidRPr="0034655C">
        <w:rPr>
          <w:rFonts w:ascii="Arial" w:hAnsi="Arial"/>
          <w:color w:val="auto"/>
          <w:sz w:val="24"/>
          <w:lang w:eastAsia="es-ES"/>
        </w:rPr>
        <w:t>.</w:t>
      </w: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color w:val="auto"/>
          <w:sz w:val="24"/>
          <w:lang w:eastAsia="es-ES"/>
        </w:rPr>
        <w:t>Asimismo, para aquellos cursos o seminarios que no se dicten en el ámbito del DCIC deberá presentarse un programa detallado de contenidos que deberá ser evaluado y aprobado por la CAPPCIC.</w:t>
      </w:r>
    </w:p>
    <w:p w:rsidR="00F44210" w:rsidRPr="00D20FC2" w:rsidRDefault="00F44210" w:rsidP="00F44210">
      <w:pPr>
        <w:overflowPunct w:val="0"/>
        <w:autoSpaceDE w:val="0"/>
        <w:autoSpaceDN w:val="0"/>
        <w:adjustRightInd w:val="0"/>
        <w:jc w:val="both"/>
        <w:textAlignment w:val="baseline"/>
        <w:rPr>
          <w:rFonts w:ascii="Arial" w:hAnsi="Arial"/>
          <w:color w:val="000000"/>
          <w:sz w:val="24"/>
          <w:lang w:val="es-ES_tradnl" w:eastAsia="es-ES"/>
        </w:rPr>
      </w:pPr>
    </w:p>
    <w:p w:rsidR="00F44210" w:rsidRPr="00D20FC2" w:rsidRDefault="00F44210" w:rsidP="00F44210">
      <w:pPr>
        <w:overflowPunct w:val="0"/>
        <w:autoSpaceDE w:val="0"/>
        <w:autoSpaceDN w:val="0"/>
        <w:adjustRightInd w:val="0"/>
        <w:jc w:val="both"/>
        <w:textAlignment w:val="baseline"/>
        <w:rPr>
          <w:rFonts w:ascii="Arial" w:hAnsi="Arial"/>
          <w:color w:val="000000"/>
          <w:sz w:val="24"/>
          <w:lang w:val="es-ES_tradnl" w:eastAsia="es-ES"/>
        </w:rPr>
      </w:pPr>
      <w:r w:rsidRPr="00D20FC2">
        <w:rPr>
          <w:rFonts w:ascii="Arial" w:hAnsi="Arial"/>
          <w:b/>
          <w:color w:val="000000"/>
          <w:sz w:val="24"/>
          <w:lang w:val="es-ES_tradnl" w:eastAsia="es-ES"/>
        </w:rPr>
        <w:t>Art. 2º).-</w:t>
      </w:r>
      <w:r w:rsidRPr="00D20FC2">
        <w:rPr>
          <w:rFonts w:ascii="Arial" w:hAnsi="Arial"/>
          <w:color w:val="000000"/>
          <w:sz w:val="24"/>
          <w:lang w:val="es-ES_tradnl" w:eastAsia="es-ES"/>
        </w:rPr>
        <w:t xml:space="preserve"> </w:t>
      </w:r>
      <w:r w:rsidR="0034655C" w:rsidRPr="0034655C">
        <w:rPr>
          <w:rFonts w:ascii="Arial" w:hAnsi="Arial"/>
          <w:color w:val="000000"/>
          <w:sz w:val="24"/>
          <w:lang w:eastAsia="es-ES"/>
        </w:rPr>
        <w:t>Los directores de tesis con inscripción aprobada que a la fecha de la presente resolución no cumplan con lo indicado en el inciso b) del Artículo 1, deberán informar al Departamento de Ciencias e Ingeniería de la Computación el grado de avance de las tesis en desarrollo que correspondan a carreras de posgrado de esta unidad académica.</w:t>
      </w: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34655C" w:rsidRPr="0034655C" w:rsidRDefault="0034655C" w:rsidP="0034655C">
      <w:pPr>
        <w:overflowPunct w:val="0"/>
        <w:autoSpaceDE w:val="0"/>
        <w:autoSpaceDN w:val="0"/>
        <w:adjustRightInd w:val="0"/>
        <w:jc w:val="both"/>
        <w:textAlignment w:val="baseline"/>
        <w:rPr>
          <w:rFonts w:ascii="Arial" w:hAnsi="Arial"/>
          <w:color w:val="auto"/>
          <w:sz w:val="24"/>
          <w:lang w:eastAsia="es-ES"/>
        </w:rPr>
      </w:pPr>
      <w:r w:rsidRPr="0034655C">
        <w:rPr>
          <w:rFonts w:ascii="Arial" w:hAnsi="Arial"/>
          <w:b/>
          <w:color w:val="auto"/>
          <w:sz w:val="24"/>
          <w:lang w:eastAsia="es-ES"/>
        </w:rPr>
        <w:t>Art. 3</w:t>
      </w:r>
      <w:r>
        <w:rPr>
          <w:rFonts w:ascii="Arial" w:hAnsi="Arial"/>
          <w:b/>
          <w:color w:val="auto"/>
          <w:sz w:val="24"/>
          <w:lang w:eastAsia="es-ES"/>
        </w:rPr>
        <w:t>º</w:t>
      </w:r>
      <w:r w:rsidRPr="0034655C">
        <w:rPr>
          <w:rFonts w:ascii="Arial" w:hAnsi="Arial"/>
          <w:b/>
          <w:color w:val="auto"/>
          <w:sz w:val="24"/>
          <w:lang w:eastAsia="es-ES"/>
        </w:rPr>
        <w:t>)</w:t>
      </w:r>
      <w:r>
        <w:rPr>
          <w:rFonts w:ascii="Arial" w:hAnsi="Arial"/>
          <w:b/>
          <w:color w:val="auto"/>
          <w:sz w:val="24"/>
          <w:lang w:eastAsia="es-ES"/>
        </w:rPr>
        <w:t>.-</w:t>
      </w:r>
      <w:r w:rsidRPr="0034655C">
        <w:rPr>
          <w:rFonts w:ascii="Arial" w:hAnsi="Arial"/>
          <w:color w:val="auto"/>
          <w:sz w:val="24"/>
          <w:lang w:eastAsia="es-ES"/>
        </w:rPr>
        <w:t xml:space="preserve"> </w:t>
      </w:r>
      <w:r>
        <w:rPr>
          <w:rFonts w:ascii="Arial" w:hAnsi="Arial"/>
          <w:color w:val="auto"/>
          <w:sz w:val="24"/>
          <w:lang w:eastAsia="es-ES"/>
        </w:rPr>
        <w:t xml:space="preserve">Regístrese; </w:t>
      </w:r>
      <w:r w:rsidRPr="0034655C">
        <w:rPr>
          <w:rFonts w:ascii="Arial" w:hAnsi="Arial"/>
          <w:color w:val="auto"/>
          <w:sz w:val="24"/>
          <w:lang w:eastAsia="es-ES"/>
        </w:rPr>
        <w:t>comuníquese a los directores con tesis en desarrollo</w:t>
      </w:r>
      <w:r>
        <w:rPr>
          <w:rFonts w:ascii="Arial" w:hAnsi="Arial"/>
          <w:color w:val="auto"/>
          <w:sz w:val="24"/>
          <w:lang w:eastAsia="es-ES"/>
        </w:rPr>
        <w:t xml:space="preserve">; pase a la </w:t>
      </w:r>
      <w:r w:rsidRPr="0034655C">
        <w:rPr>
          <w:rFonts w:ascii="Arial" w:hAnsi="Arial"/>
          <w:color w:val="auto"/>
          <w:sz w:val="24"/>
          <w:lang w:eastAsia="es-ES"/>
        </w:rPr>
        <w:t>Secretaría General de Posgrado y Educación Continua de la UNS a los fines que corresponda</w:t>
      </w:r>
      <w:r>
        <w:rPr>
          <w:rFonts w:ascii="Arial" w:hAnsi="Arial"/>
          <w:color w:val="auto"/>
          <w:sz w:val="24"/>
          <w:lang w:eastAsia="es-ES"/>
        </w:rPr>
        <w:t xml:space="preserve">. </w:t>
      </w:r>
      <w:r w:rsidRPr="0034655C">
        <w:rPr>
          <w:rFonts w:ascii="Arial" w:hAnsi="Arial"/>
          <w:color w:val="auto"/>
          <w:sz w:val="24"/>
          <w:lang w:eastAsia="es-ES"/>
        </w:rPr>
        <w:t>Cumplido, archívese.-------------------------------------</w:t>
      </w:r>
      <w:r>
        <w:rPr>
          <w:rFonts w:ascii="Arial" w:hAnsi="Arial"/>
          <w:color w:val="auto"/>
          <w:sz w:val="24"/>
          <w:lang w:eastAsia="es-ES"/>
        </w:rPr>
        <w:t>--------------------------------</w:t>
      </w:r>
      <w:r w:rsidRPr="0034655C">
        <w:rPr>
          <w:rFonts w:ascii="Arial" w:hAnsi="Arial"/>
          <w:color w:val="auto"/>
          <w:sz w:val="24"/>
          <w:lang w:eastAsia="es-ES"/>
        </w:rPr>
        <w:t xml:space="preserve"> </w:t>
      </w: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F44210" w:rsidRPr="007232C1" w:rsidRDefault="00F44210" w:rsidP="00F44210">
      <w:pPr>
        <w:ind w:right="-29" w:firstLine="851"/>
        <w:jc w:val="both"/>
        <w:rPr>
          <w:rFonts w:ascii="Arial" w:hAnsi="Arial" w:cs="Arial"/>
          <w:b/>
          <w:smallCaps/>
          <w:color w:val="auto"/>
          <w:sz w:val="24"/>
        </w:rPr>
      </w:pPr>
    </w:p>
    <w:p w:rsidR="0014123D" w:rsidRDefault="0014123D" w:rsidP="00F44210">
      <w:pPr>
        <w:ind w:right="-29" w:firstLine="851"/>
        <w:jc w:val="both"/>
        <w:rPr>
          <w:rFonts w:cs="Arial"/>
          <w:b/>
          <w:i/>
          <w:color w:val="000000"/>
          <w:sz w:val="24"/>
          <w:szCs w:val="18"/>
        </w:rPr>
      </w:pPr>
    </w:p>
    <w:sectPr w:rsidR="0014123D" w:rsidSect="00D576F7">
      <w:pgSz w:w="11906" w:h="16838"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0926DED"/>
    <w:multiLevelType w:val="multilevel"/>
    <w:tmpl w:val="FA680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2"/>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1"/>
  </w:num>
  <w:num w:numId="22">
    <w:abstractNumId w:val="6"/>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532F3"/>
    <w:rsid w:val="0006142C"/>
    <w:rsid w:val="00064224"/>
    <w:rsid w:val="00067972"/>
    <w:rsid w:val="00074BCF"/>
    <w:rsid w:val="000A1A95"/>
    <w:rsid w:val="000A7307"/>
    <w:rsid w:val="000C6DF1"/>
    <w:rsid w:val="000D3351"/>
    <w:rsid w:val="000D6DD4"/>
    <w:rsid w:val="001011E5"/>
    <w:rsid w:val="0011607C"/>
    <w:rsid w:val="0011687E"/>
    <w:rsid w:val="0014123D"/>
    <w:rsid w:val="00142CF2"/>
    <w:rsid w:val="001459AC"/>
    <w:rsid w:val="0015181C"/>
    <w:rsid w:val="00162AB4"/>
    <w:rsid w:val="001A1A2B"/>
    <w:rsid w:val="001B03DA"/>
    <w:rsid w:val="001C700E"/>
    <w:rsid w:val="001D5EDF"/>
    <w:rsid w:val="001F1E66"/>
    <w:rsid w:val="0020282A"/>
    <w:rsid w:val="002068C8"/>
    <w:rsid w:val="00243FE3"/>
    <w:rsid w:val="002B3CD1"/>
    <w:rsid w:val="002D1E1D"/>
    <w:rsid w:val="002D239D"/>
    <w:rsid w:val="002E7710"/>
    <w:rsid w:val="002F37F6"/>
    <w:rsid w:val="00344CDC"/>
    <w:rsid w:val="0034655C"/>
    <w:rsid w:val="00351D00"/>
    <w:rsid w:val="003556AC"/>
    <w:rsid w:val="0037519B"/>
    <w:rsid w:val="003817BE"/>
    <w:rsid w:val="00394D52"/>
    <w:rsid w:val="003C1741"/>
    <w:rsid w:val="003D22A1"/>
    <w:rsid w:val="00401387"/>
    <w:rsid w:val="00402D5F"/>
    <w:rsid w:val="004341D8"/>
    <w:rsid w:val="0043739E"/>
    <w:rsid w:val="0045645B"/>
    <w:rsid w:val="004D0955"/>
    <w:rsid w:val="0050306B"/>
    <w:rsid w:val="00545336"/>
    <w:rsid w:val="005700C9"/>
    <w:rsid w:val="00571DFA"/>
    <w:rsid w:val="00576E3A"/>
    <w:rsid w:val="0058732F"/>
    <w:rsid w:val="00587390"/>
    <w:rsid w:val="005B5D45"/>
    <w:rsid w:val="005E24C3"/>
    <w:rsid w:val="006034A8"/>
    <w:rsid w:val="006175A9"/>
    <w:rsid w:val="00636926"/>
    <w:rsid w:val="00640E8B"/>
    <w:rsid w:val="006508EE"/>
    <w:rsid w:val="006723C0"/>
    <w:rsid w:val="00691848"/>
    <w:rsid w:val="006C2427"/>
    <w:rsid w:val="006D4E9D"/>
    <w:rsid w:val="006E23D2"/>
    <w:rsid w:val="007047E0"/>
    <w:rsid w:val="007232C1"/>
    <w:rsid w:val="00734F37"/>
    <w:rsid w:val="00736676"/>
    <w:rsid w:val="00740B2A"/>
    <w:rsid w:val="007518FA"/>
    <w:rsid w:val="00772346"/>
    <w:rsid w:val="007774FC"/>
    <w:rsid w:val="00782ACF"/>
    <w:rsid w:val="007B4AAB"/>
    <w:rsid w:val="007C146E"/>
    <w:rsid w:val="007D10AC"/>
    <w:rsid w:val="007D2465"/>
    <w:rsid w:val="007D4452"/>
    <w:rsid w:val="007E0270"/>
    <w:rsid w:val="00827CFF"/>
    <w:rsid w:val="00842C76"/>
    <w:rsid w:val="0085049A"/>
    <w:rsid w:val="008724F8"/>
    <w:rsid w:val="00872AEA"/>
    <w:rsid w:val="008A4C2F"/>
    <w:rsid w:val="008C50C9"/>
    <w:rsid w:val="008E1D23"/>
    <w:rsid w:val="008E79AB"/>
    <w:rsid w:val="008F4CA1"/>
    <w:rsid w:val="008F55D5"/>
    <w:rsid w:val="00901DB6"/>
    <w:rsid w:val="00905D16"/>
    <w:rsid w:val="00914BB0"/>
    <w:rsid w:val="00916972"/>
    <w:rsid w:val="0092478E"/>
    <w:rsid w:val="0093666F"/>
    <w:rsid w:val="00946E36"/>
    <w:rsid w:val="00957F6C"/>
    <w:rsid w:val="00962110"/>
    <w:rsid w:val="00966C00"/>
    <w:rsid w:val="00967007"/>
    <w:rsid w:val="0098799A"/>
    <w:rsid w:val="009A541F"/>
    <w:rsid w:val="009C3CDB"/>
    <w:rsid w:val="009D7BC8"/>
    <w:rsid w:val="00A003F0"/>
    <w:rsid w:val="00A046CE"/>
    <w:rsid w:val="00A12D9E"/>
    <w:rsid w:val="00A25227"/>
    <w:rsid w:val="00A3364D"/>
    <w:rsid w:val="00A47978"/>
    <w:rsid w:val="00A5426C"/>
    <w:rsid w:val="00A6760B"/>
    <w:rsid w:val="00A8060E"/>
    <w:rsid w:val="00A833BA"/>
    <w:rsid w:val="00AA51A7"/>
    <w:rsid w:val="00AA7FBC"/>
    <w:rsid w:val="00AB5D34"/>
    <w:rsid w:val="00B02381"/>
    <w:rsid w:val="00B21734"/>
    <w:rsid w:val="00B518D8"/>
    <w:rsid w:val="00B862D9"/>
    <w:rsid w:val="00B958E5"/>
    <w:rsid w:val="00BA5D20"/>
    <w:rsid w:val="00BC1168"/>
    <w:rsid w:val="00BC4762"/>
    <w:rsid w:val="00C2070B"/>
    <w:rsid w:val="00C47263"/>
    <w:rsid w:val="00C624C2"/>
    <w:rsid w:val="00C63F7F"/>
    <w:rsid w:val="00C856CE"/>
    <w:rsid w:val="00CA404E"/>
    <w:rsid w:val="00CD3E1D"/>
    <w:rsid w:val="00CF3F17"/>
    <w:rsid w:val="00D17171"/>
    <w:rsid w:val="00D3152A"/>
    <w:rsid w:val="00D553C3"/>
    <w:rsid w:val="00D576F7"/>
    <w:rsid w:val="00D649EC"/>
    <w:rsid w:val="00D8723D"/>
    <w:rsid w:val="00DA7A31"/>
    <w:rsid w:val="00DB279A"/>
    <w:rsid w:val="00DB7265"/>
    <w:rsid w:val="00DC40B9"/>
    <w:rsid w:val="00DE1251"/>
    <w:rsid w:val="00E03C37"/>
    <w:rsid w:val="00E43D86"/>
    <w:rsid w:val="00E54A49"/>
    <w:rsid w:val="00E70D6C"/>
    <w:rsid w:val="00E73B31"/>
    <w:rsid w:val="00E9175B"/>
    <w:rsid w:val="00EC0596"/>
    <w:rsid w:val="00EC4B2C"/>
    <w:rsid w:val="00ED6AEC"/>
    <w:rsid w:val="00EF3714"/>
    <w:rsid w:val="00F10F52"/>
    <w:rsid w:val="00F11F41"/>
    <w:rsid w:val="00F24423"/>
    <w:rsid w:val="00F313D4"/>
    <w:rsid w:val="00F377EA"/>
    <w:rsid w:val="00F44210"/>
    <w:rsid w:val="00F554D8"/>
    <w:rsid w:val="00F62B03"/>
    <w:rsid w:val="00F75A27"/>
    <w:rsid w:val="00F82106"/>
    <w:rsid w:val="00F969AF"/>
    <w:rsid w:val="00FA26F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2014-09-18T13:47:00Z</cp:lastPrinted>
  <dcterms:created xsi:type="dcterms:W3CDTF">2025-07-06T17:54:00Z</dcterms:created>
  <dcterms:modified xsi:type="dcterms:W3CDTF">2025-07-06T17:54:00Z</dcterms:modified>
</cp:coreProperties>
</file>