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A1EFA">
        <w:rPr>
          <w:rFonts w:ascii="Arial" w:hAnsi="Arial" w:cs="Arial"/>
          <w:bCs/>
          <w:color w:val="000000"/>
          <w:szCs w:val="24"/>
          <w:lang w:val="es-ES"/>
        </w:rPr>
        <w:t>206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C94F55">
        <w:rPr>
          <w:rFonts w:ascii="Arial" w:hAnsi="Arial" w:cs="Arial"/>
          <w:bCs/>
          <w:color w:val="000000"/>
          <w:szCs w:val="24"/>
          <w:lang w:val="es-ES"/>
        </w:rPr>
        <w:t>14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60C97" w:rsidRPr="00766E7C" w:rsidRDefault="002C7E83" w:rsidP="00971915">
      <w:pPr>
        <w:spacing w:line="260" w:lineRule="exact"/>
        <w:ind w:firstLine="72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>Que este Departamento cuenta con un cargo vacante</w:t>
      </w:r>
      <w:r w:rsidR="00100E06">
        <w:rPr>
          <w:rFonts w:ascii="Arial" w:hAnsi="Arial"/>
          <w:bCs/>
          <w:lang w:val="es-ES_tradnl"/>
        </w:rPr>
        <w:t xml:space="preserve"> de Asistente de Docencia con dedicación simple en la</w:t>
      </w:r>
      <w:r w:rsidR="00EE6153" w:rsidRPr="00766E7C">
        <w:rPr>
          <w:rFonts w:ascii="Arial" w:hAnsi="Arial"/>
          <w:bCs/>
          <w:lang w:val="es-ES_tradnl"/>
        </w:rPr>
        <w:t xml:space="preserve"> asignatura </w:t>
      </w:r>
      <w:r w:rsidR="00100E06">
        <w:rPr>
          <w:rFonts w:ascii="Arial" w:hAnsi="Arial" w:cs="Arial"/>
          <w:lang w:val="es-ES"/>
        </w:rPr>
        <w:t>“Dise</w:t>
      </w:r>
      <w:r>
        <w:rPr>
          <w:rFonts w:ascii="Arial" w:hAnsi="Arial" w:cs="Arial"/>
          <w:lang w:val="es-ES"/>
        </w:rPr>
        <w:t>ño y Desarrollo de Software” (Có</w:t>
      </w:r>
      <w:r w:rsidR="00100E06">
        <w:rPr>
          <w:rFonts w:ascii="Arial" w:hAnsi="Arial" w:cs="Arial"/>
          <w:lang w:val="es-ES"/>
        </w:rPr>
        <w:t>d. 5587</w:t>
      </w:r>
      <w:r w:rsidR="007B372F" w:rsidRPr="00766E7C"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 xml:space="preserve"> por fallecimiento del Dr. Carlos Gonzalía (Leg. 7718 *Cargo de Planta </w:t>
      </w:r>
      <w:r w:rsidRPr="002C7E83">
        <w:rPr>
          <w:rFonts w:ascii="Arial" w:hAnsi="Arial" w:cs="Arial"/>
          <w:lang w:val="es-AR"/>
        </w:rPr>
        <w:t>27028567</w:t>
      </w:r>
      <w:r>
        <w:rPr>
          <w:rFonts w:ascii="Arial" w:hAnsi="Arial" w:cs="Arial"/>
          <w:lang w:val="es-AR"/>
        </w:rPr>
        <w:t>)</w:t>
      </w:r>
      <w:r w:rsidR="00EE6153" w:rsidRPr="00766E7C">
        <w:rPr>
          <w:rFonts w:ascii="Arial" w:hAnsi="Arial"/>
          <w:lang w:val="es-ES_tradnl"/>
        </w:rPr>
        <w:t xml:space="preserve">; </w:t>
      </w:r>
      <w:r w:rsidR="00971915">
        <w:rPr>
          <w:rFonts w:ascii="Arial" w:hAnsi="Arial"/>
          <w:lang w:val="es-ES_tradnl"/>
        </w:rPr>
        <w:t>y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2C7E83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6A1EFA">
        <w:rPr>
          <w:rFonts w:ascii="Arial" w:hAnsi="Arial"/>
          <w:b/>
          <w:lang w:val="es-AR"/>
        </w:rPr>
        <w:t>26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6A1EFA">
        <w:rPr>
          <w:rFonts w:ascii="Arial" w:hAnsi="Arial"/>
          <w:b/>
          <w:lang w:val="es-AR"/>
        </w:rPr>
        <w:t>septiembre</w:t>
      </w:r>
      <w:r w:rsidR="00F1342E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2C7E83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971915">
        <w:rPr>
          <w:rFonts w:ascii="Arial" w:hAnsi="Arial" w:cs="Arial"/>
          <w:lang w:val="es-ES"/>
        </w:rPr>
        <w:t xml:space="preserve">el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="00100E06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100E06">
        <w:rPr>
          <w:rFonts w:ascii="Arial" w:hAnsi="Arial" w:cs="Arial"/>
          <w:b/>
          <w:lang w:val="es-ES"/>
        </w:rPr>
        <w:t>Desarrollo de Sistemas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="00100E06">
        <w:rPr>
          <w:rFonts w:ascii="Arial" w:hAnsi="Arial" w:cs="Arial"/>
          <w:b/>
          <w:lang w:val="es-ES"/>
        </w:rPr>
        <w:t xml:space="preserve">Asistente de Docencia </w:t>
      </w:r>
      <w:r>
        <w:rPr>
          <w:rFonts w:ascii="Arial" w:hAnsi="Arial" w:cs="Arial"/>
          <w:b/>
          <w:lang w:val="es-ES"/>
        </w:rPr>
        <w:t xml:space="preserve">con dedicación simple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100E06">
        <w:rPr>
          <w:rFonts w:ascii="Arial" w:hAnsi="Arial"/>
          <w:b/>
          <w:lang w:val="es-ES_tradnl"/>
        </w:rPr>
        <w:t xml:space="preserve">Diseño y Desarrollo de </w:t>
      </w:r>
      <w:r w:rsidR="00467E7C">
        <w:rPr>
          <w:rFonts w:ascii="Arial" w:hAnsi="Arial"/>
          <w:b/>
          <w:lang w:val="es-ES_tradnl"/>
        </w:rPr>
        <w:t>Software</w:t>
      </w:r>
      <w:r w:rsidR="00100E06">
        <w:rPr>
          <w:rFonts w:ascii="Arial" w:hAnsi="Arial"/>
          <w:b/>
          <w:lang w:val="es-ES_tradnl"/>
        </w:rPr>
        <w:t xml:space="preserve"> (Cód. 5587)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B065A" w:rsidRPr="001B065A" w:rsidRDefault="001B065A" w:rsidP="001B065A">
      <w:pPr>
        <w:spacing w:line="260" w:lineRule="exact"/>
        <w:jc w:val="both"/>
        <w:rPr>
          <w:b/>
          <w:smallCaps/>
          <w:sz w:val="22"/>
          <w:szCs w:val="22"/>
          <w:lang w:val="es-ES"/>
        </w:rPr>
      </w:pPr>
      <w:r w:rsidRPr="001B065A">
        <w:rPr>
          <w:b/>
          <w:smallCaps/>
          <w:sz w:val="22"/>
          <w:szCs w:val="22"/>
          <w:lang w:val="es-ES"/>
        </w:rPr>
        <w:t>Diseño y Desarrollo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B065A" w:rsidRPr="001B065A" w:rsidTr="00CE083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Dr. Manuel Marcos Fidel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Dr. Marcelo  Alejandro Falappa</w:t>
            </w:r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Marcela Capobianco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Martín Larrea</w:t>
            </w:r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Lic. Ariel Trellini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2075FB" w:rsidRPr="00B17FB5">
        <w:rPr>
          <w:rFonts w:ascii="Arial" w:hAnsi="Arial" w:cs="Arial"/>
        </w:rPr>
        <w:t xml:space="preserve">Establecer que la persona que resulte designada </w:t>
      </w:r>
      <w:r w:rsidR="002075FB">
        <w:rPr>
          <w:rFonts w:ascii="Arial" w:hAnsi="Arial" w:cs="Arial"/>
          <w:lang w:val="es-ES"/>
        </w:rPr>
        <w:t>en el cargo motivo de las presentes actuaciones d</w:t>
      </w:r>
      <w:r w:rsidRPr="006C0415">
        <w:rPr>
          <w:rFonts w:ascii="Arial" w:hAnsi="Arial" w:cs="Arial"/>
          <w:lang w:val="es-ES"/>
        </w:rPr>
        <w:t xml:space="preserve">eberá supervisar la ejecución </w:t>
      </w:r>
      <w:r>
        <w:rPr>
          <w:rFonts w:ascii="Arial" w:hAnsi="Arial" w:cs="Arial"/>
          <w:lang w:val="es-ES"/>
        </w:rPr>
        <w:t xml:space="preserve">de los trabajos prácticos de la </w:t>
      </w:r>
      <w:r w:rsidRPr="006C0415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signatura en la que desempeñe</w:t>
      </w:r>
      <w:r w:rsidRPr="006C0415">
        <w:rPr>
          <w:rFonts w:ascii="Arial" w:hAnsi="Arial" w:cs="Arial"/>
          <w:lang w:val="es-ES"/>
        </w:rPr>
        <w:t xml:space="preserve">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  <w:r w:rsidRPr="004F7FA4">
        <w:rPr>
          <w:rFonts w:ascii="Arial" w:hAnsi="Arial" w:cs="Arial"/>
          <w:b/>
          <w:lang w:val="es-ES"/>
        </w:rPr>
        <w:t xml:space="preserve"> </w:t>
      </w:r>
    </w:p>
    <w:p w:rsidR="002075FB" w:rsidRDefault="002075FB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2075FB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</w:t>
      </w:r>
      <w:r w:rsidR="002B08A0">
        <w:rPr>
          <w:rFonts w:ascii="Arial" w:hAnsi="Arial" w:cs="Arial"/>
          <w:lang w:val="es-ES"/>
        </w:rPr>
        <w:t xml:space="preserve">                            </w:t>
      </w:r>
      <w:r w:rsidRPr="00971915">
        <w:rPr>
          <w:rFonts w:ascii="Arial" w:hAnsi="Arial" w:cs="Arial"/>
          <w:lang w:val="es-ES"/>
        </w:rPr>
        <w:t xml:space="preserve">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</w:t>
      </w:r>
      <w:r w:rsidR="002B08A0">
        <w:rPr>
          <w:rFonts w:ascii="Arial" w:hAnsi="Arial" w:cs="Arial"/>
          <w:lang w:val="es-ES"/>
        </w:rPr>
        <w:t xml:space="preserve">                          </w:t>
      </w:r>
      <w:r w:rsidRPr="00971915">
        <w:rPr>
          <w:rFonts w:ascii="Arial" w:hAnsi="Arial" w:cs="Arial"/>
          <w:lang w:val="es-ES"/>
        </w:rPr>
        <w:t xml:space="preserve">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2075FB" w:rsidRDefault="002075FB" w:rsidP="002075F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2075FB" w:rsidRPr="00E31C3A" w:rsidRDefault="002075FB" w:rsidP="002075F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///CDCIC-206/14</w:t>
      </w:r>
    </w:p>
    <w:p w:rsidR="002075FB" w:rsidRDefault="002075FB" w:rsidP="002075FB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tación,  Avda. Alem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</w:t>
      </w:r>
      <w:r w:rsidR="002075FB">
        <w:rPr>
          <w:rFonts w:ascii="Arial" w:hAnsi="Arial" w:cs="Arial"/>
          <w:b/>
          <w:lang w:val="es-ES"/>
        </w:rPr>
        <w:t>5</w:t>
      </w:r>
      <w:r w:rsidRPr="00971915">
        <w:rPr>
          <w:rFonts w:ascii="Arial" w:hAnsi="Arial" w:cs="Arial"/>
          <w:b/>
          <w:lang w:val="es-ES"/>
        </w:rPr>
        <w:t xml:space="preserve">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82F" w:rsidRDefault="00A6682F" w:rsidP="00A46215">
      <w:r>
        <w:separator/>
      </w:r>
    </w:p>
  </w:endnote>
  <w:endnote w:type="continuationSeparator" w:id="1">
    <w:p w:rsidR="00A6682F" w:rsidRDefault="00A6682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82F" w:rsidRDefault="00A6682F" w:rsidP="00A46215">
      <w:r>
        <w:separator/>
      </w:r>
    </w:p>
  </w:footnote>
  <w:footnote w:type="continuationSeparator" w:id="1">
    <w:p w:rsidR="00A6682F" w:rsidRDefault="00A6682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075FB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3AA9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C7E83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0FD8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9BE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A1EFA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382"/>
    <w:rsid w:val="008B74BE"/>
    <w:rsid w:val="008C1CC1"/>
    <w:rsid w:val="008C3945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2FC8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6682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B5FF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4F5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2014-09-26T13:53:00Z</cp:lastPrinted>
  <dcterms:created xsi:type="dcterms:W3CDTF">2025-07-06T17:55:00Z</dcterms:created>
  <dcterms:modified xsi:type="dcterms:W3CDTF">2025-07-06T17:55:00Z</dcterms:modified>
</cp:coreProperties>
</file>