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42490B">
        <w:rPr>
          <w:lang w:val="es-AR"/>
        </w:rPr>
        <w:t>207</w:t>
      </w:r>
      <w:r w:rsidR="00464C0E">
        <w:rPr>
          <w:lang w:val="es-AR"/>
        </w:rPr>
        <w:t>/14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9D2EFA" w:rsidRPr="009D2EFA" w:rsidRDefault="00DC7FB8" w:rsidP="009D2EFA">
      <w:pPr>
        <w:ind w:firstLine="720"/>
        <w:jc w:val="both"/>
        <w:rPr>
          <w:lang w:val="es-ES" w:eastAsia="es-ES"/>
        </w:rPr>
      </w:pPr>
      <w:r>
        <w:rPr>
          <w:rFonts w:cs="Arial"/>
          <w:szCs w:val="24"/>
          <w:lang w:val="es-ES" w:eastAsia="es-ES"/>
        </w:rPr>
        <w:t xml:space="preserve">El Convenio </w:t>
      </w:r>
      <w:r w:rsidR="00B32B27">
        <w:rPr>
          <w:rFonts w:cs="Arial"/>
          <w:szCs w:val="24"/>
          <w:lang w:val="es-ES" w:eastAsia="es-ES"/>
        </w:rPr>
        <w:t xml:space="preserve">ME Nº 784/2014 </w:t>
      </w:r>
      <w:r>
        <w:rPr>
          <w:rFonts w:cs="Arial"/>
          <w:szCs w:val="24"/>
          <w:lang w:val="es-ES" w:eastAsia="es-ES"/>
        </w:rPr>
        <w:t>firmado entre el Sr. Rector de la Universidad Nacional del Sur y el Sr. Secretario de Políticas Universitarias, por el cual se financian mediante Contrato Programa cargos docentes para la carrera Ingeniería en Computación</w:t>
      </w:r>
      <w:r w:rsidR="00B32B27">
        <w:rPr>
          <w:rFonts w:cs="Arial"/>
          <w:szCs w:val="24"/>
          <w:lang w:val="es-ES" w:eastAsia="es-ES"/>
        </w:rPr>
        <w:t xml:space="preserve"> en el marco del en el marco del “Proyecto</w:t>
      </w:r>
      <w:r w:rsidR="00B32B27" w:rsidRPr="00B32B27">
        <w:rPr>
          <w:rFonts w:cs="Arial"/>
          <w:szCs w:val="24"/>
          <w:lang w:val="es-ES" w:eastAsia="es-ES"/>
        </w:rPr>
        <w:t xml:space="preserve"> de Mejora para Carreras de Informática” (PROMINF).</w:t>
      </w:r>
      <w:r>
        <w:rPr>
          <w:rFonts w:cs="Arial"/>
          <w:szCs w:val="24"/>
          <w:lang w:val="es-ES" w:eastAsia="es-ES"/>
        </w:rPr>
        <w:t>;</w:t>
      </w:r>
      <w:r w:rsidR="009D2EFA" w:rsidRPr="009D2EFA">
        <w:rPr>
          <w:lang w:val="es-ES" w:eastAsia="es-ES"/>
        </w:rPr>
        <w:t xml:space="preserve">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D2EFA" w:rsidRDefault="009D2EFA" w:rsidP="009D2EFA">
      <w:pPr>
        <w:ind w:firstLine="709"/>
        <w:jc w:val="both"/>
        <w:rPr>
          <w:rFonts w:cs="Arial"/>
          <w:lang w:val="es-ES"/>
        </w:rPr>
      </w:pPr>
      <w:r w:rsidRPr="009D2EFA">
        <w:rPr>
          <w:rFonts w:cs="Arial"/>
          <w:lang w:val="es-ES"/>
        </w:rPr>
        <w:t xml:space="preserve">Que </w:t>
      </w:r>
      <w:r>
        <w:rPr>
          <w:rFonts w:cs="Arial"/>
          <w:lang w:val="es-ES"/>
        </w:rPr>
        <w:t>es</w:t>
      </w:r>
      <w:r w:rsidRPr="009D2EFA">
        <w:rPr>
          <w:rFonts w:cs="Arial"/>
          <w:lang w:val="es-ES"/>
        </w:rPr>
        <w:t xml:space="preserve"> </w:t>
      </w:r>
      <w:r w:rsidRPr="00B32B27">
        <w:rPr>
          <w:rFonts w:cs="Arial"/>
          <w:lang w:val="es-AR"/>
        </w:rPr>
        <w:t>necesario</w:t>
      </w:r>
      <w:r w:rsidRPr="009D2EFA">
        <w:rPr>
          <w:rFonts w:cs="Arial"/>
          <w:lang w:val="es-ES"/>
        </w:rPr>
        <w:t xml:space="preserve"> </w:t>
      </w:r>
      <w:r w:rsidR="00B32B27">
        <w:rPr>
          <w:rFonts w:cs="Arial"/>
          <w:lang w:val="es-ES"/>
        </w:rPr>
        <w:t xml:space="preserve">que </w:t>
      </w:r>
      <w:r w:rsidR="00DC7FB8">
        <w:rPr>
          <w:rFonts w:cs="Arial"/>
          <w:lang w:val="es-ES"/>
        </w:rPr>
        <w:t>la firma de dicho Convenio</w:t>
      </w:r>
      <w:r w:rsidR="00B32B27">
        <w:rPr>
          <w:rFonts w:cs="Arial"/>
          <w:lang w:val="es-ES"/>
        </w:rPr>
        <w:t xml:space="preserve"> sea avalada por el </w:t>
      </w:r>
      <w:r w:rsidR="00B32B27">
        <w:rPr>
          <w:rFonts w:cs="Arial"/>
        </w:rPr>
        <w:t>Consejo Superior Universitario</w:t>
      </w:r>
      <w:r w:rsidRPr="009D2EFA">
        <w:rPr>
          <w:rFonts w:cs="Arial"/>
          <w:lang w:val="es-ES"/>
        </w:rPr>
        <w:t>;</w:t>
      </w:r>
    </w:p>
    <w:p w:rsidR="00DC7FB8" w:rsidRDefault="00DC7FB8" w:rsidP="009D2EFA">
      <w:pPr>
        <w:ind w:firstLine="709"/>
        <w:jc w:val="both"/>
        <w:rPr>
          <w:rFonts w:cs="Arial"/>
          <w:lang w:val="es-ES"/>
        </w:rPr>
      </w:pPr>
    </w:p>
    <w:p w:rsidR="00DC7FB8" w:rsidRDefault="00DC7FB8" w:rsidP="009D2EFA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con el fin de ejecutar el mismo, es </w:t>
      </w:r>
      <w:r w:rsidR="00B32B27">
        <w:rPr>
          <w:rFonts w:cs="Arial"/>
          <w:lang w:val="es-ES"/>
        </w:rPr>
        <w:t>imperioso</w:t>
      </w:r>
      <w:r>
        <w:rPr>
          <w:rFonts w:cs="Arial"/>
          <w:lang w:val="es-ES"/>
        </w:rPr>
        <w:t xml:space="preserve"> crear los cargos docentes correspondientes al primer año de ejecución del mencionado Convenio para luego proceder a realizar los correspondientes concursos; </w:t>
      </w:r>
    </w:p>
    <w:p w:rsidR="00DC7FB8" w:rsidRDefault="00DC7FB8" w:rsidP="009D2EFA">
      <w:pPr>
        <w:ind w:firstLine="709"/>
        <w:jc w:val="both"/>
        <w:rPr>
          <w:rFonts w:cs="Arial"/>
          <w:lang w:val="es-ES"/>
        </w:rPr>
      </w:pPr>
    </w:p>
    <w:p w:rsidR="00DC7FB8" w:rsidRPr="009D2EFA" w:rsidRDefault="00DC7FB8" w:rsidP="009D2EFA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las asignaturas donde se destinarán los cargos docentes corresponden al Departamento de Matemática y al Departamento de Ciencias e Ingeniería de la Computación;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B32B27">
        <w:rPr>
          <w:lang w:val="es-AR"/>
        </w:rPr>
        <w:t>de fecha 26</w:t>
      </w:r>
      <w:r>
        <w:rPr>
          <w:lang w:val="es-AR"/>
        </w:rPr>
        <w:t xml:space="preserve"> de </w:t>
      </w:r>
      <w:r w:rsidR="00B32B27">
        <w:rPr>
          <w:lang w:val="es-AR"/>
        </w:rPr>
        <w:t xml:space="preserve">septiembre </w:t>
      </w:r>
      <w:r w:rsidR="00464C0E">
        <w:rPr>
          <w:lang w:val="es-AR"/>
        </w:rPr>
        <w:t>de 2014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464C0E" w:rsidRDefault="00690562" w:rsidP="00B32B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>.- Solicitar al Consejo Superior Universitario</w:t>
      </w:r>
      <w:r w:rsidR="00DC7FB8">
        <w:rPr>
          <w:rFonts w:cs="Arial"/>
          <w:szCs w:val="24"/>
          <w:lang w:val="es-ES"/>
        </w:rPr>
        <w:t xml:space="preserve"> el aval a la firma del Convenio suscripto por el </w:t>
      </w:r>
      <w:proofErr w:type="spellStart"/>
      <w:r w:rsidR="00DC7FB8">
        <w:rPr>
          <w:rFonts w:cs="Arial"/>
          <w:szCs w:val="24"/>
          <w:lang w:val="es-ES" w:eastAsia="es-ES"/>
        </w:rPr>
        <w:t>el</w:t>
      </w:r>
      <w:proofErr w:type="spellEnd"/>
      <w:r w:rsidR="00DC7FB8">
        <w:rPr>
          <w:rFonts w:cs="Arial"/>
          <w:szCs w:val="24"/>
          <w:lang w:val="es-ES" w:eastAsia="es-ES"/>
        </w:rPr>
        <w:t xml:space="preserve"> Sr. Rector de la Universidad Nacional del Sur y el Sr. Secretario de Políticas Universitaria</w:t>
      </w:r>
      <w:r w:rsidR="00B32B27">
        <w:rPr>
          <w:rFonts w:cs="Arial"/>
          <w:szCs w:val="24"/>
          <w:lang w:val="es-ES" w:eastAsia="es-ES"/>
        </w:rPr>
        <w:t xml:space="preserve"> del Ministerio de Educac</w:t>
      </w:r>
      <w:r w:rsidR="0042490B">
        <w:rPr>
          <w:rFonts w:cs="Arial"/>
          <w:szCs w:val="24"/>
          <w:lang w:val="es-ES" w:eastAsia="es-ES"/>
        </w:rPr>
        <w:t>i</w:t>
      </w:r>
      <w:r w:rsidR="00B32B27">
        <w:rPr>
          <w:rFonts w:cs="Arial"/>
          <w:szCs w:val="24"/>
          <w:lang w:val="es-ES" w:eastAsia="es-ES"/>
        </w:rPr>
        <w:t>ón,</w:t>
      </w:r>
      <w:r w:rsidR="00DC7FB8">
        <w:rPr>
          <w:rFonts w:cs="Arial"/>
          <w:szCs w:val="24"/>
          <w:lang w:val="es-ES" w:eastAsia="es-ES"/>
        </w:rPr>
        <w:t xml:space="preserve"> que tiene como fin </w:t>
      </w:r>
      <w:r w:rsidR="00B32B27">
        <w:rPr>
          <w:rFonts w:cs="Arial"/>
          <w:szCs w:val="24"/>
          <w:lang w:val="es-ES" w:eastAsia="es-ES"/>
        </w:rPr>
        <w:t xml:space="preserve">ejecutar el </w:t>
      </w:r>
      <w:r w:rsidR="00DC7FB8">
        <w:rPr>
          <w:rFonts w:cs="Arial"/>
          <w:szCs w:val="24"/>
          <w:lang w:val="es-ES" w:eastAsia="es-ES"/>
        </w:rPr>
        <w:t xml:space="preserve"> </w:t>
      </w:r>
      <w:r w:rsidR="00B32B27">
        <w:rPr>
          <w:rFonts w:cs="Arial"/>
          <w:szCs w:val="24"/>
          <w:lang w:val="es-ES" w:eastAsia="es-ES"/>
        </w:rPr>
        <w:t>“Proyecto</w:t>
      </w:r>
      <w:r w:rsidR="00B32B27" w:rsidRPr="00B32B27">
        <w:rPr>
          <w:rFonts w:cs="Arial"/>
          <w:szCs w:val="24"/>
          <w:lang w:val="es-ES" w:eastAsia="es-ES"/>
        </w:rPr>
        <w:t xml:space="preserve"> de Mejora</w:t>
      </w:r>
      <w:r w:rsidR="00982149">
        <w:rPr>
          <w:rFonts w:cs="Arial"/>
          <w:szCs w:val="24"/>
          <w:lang w:val="es-ES" w:eastAsia="es-ES"/>
        </w:rPr>
        <w:t>s</w:t>
      </w:r>
      <w:r w:rsidR="00B32B27" w:rsidRPr="00B32B27">
        <w:rPr>
          <w:rFonts w:cs="Arial"/>
          <w:szCs w:val="24"/>
          <w:lang w:val="es-ES" w:eastAsia="es-ES"/>
        </w:rPr>
        <w:t xml:space="preserve"> para Carreras de Informática” (PROMINF).</w:t>
      </w:r>
    </w:p>
    <w:p w:rsidR="0042490B" w:rsidRDefault="0042490B" w:rsidP="00B32B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 w:eastAsia="es-ES"/>
        </w:rPr>
      </w:pPr>
    </w:p>
    <w:p w:rsidR="0042490B" w:rsidRDefault="0042490B" w:rsidP="004249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Solicitar al Consejo Superior Universitario la creación de los cargos docentes para la carrera Ingeniería en Computación que constan en el Anexo del Convenio </w:t>
      </w:r>
      <w:r>
        <w:rPr>
          <w:rFonts w:cs="Arial"/>
          <w:szCs w:val="24"/>
          <w:lang w:val="es-ES" w:eastAsia="es-ES"/>
        </w:rPr>
        <w:t>ME Nº 784/2014.</w:t>
      </w:r>
    </w:p>
    <w:p w:rsidR="00B32B27" w:rsidRPr="002F577D" w:rsidRDefault="00B32B27" w:rsidP="00B32B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 xml:space="preserve">Art. </w:t>
      </w:r>
      <w:r w:rsidR="0042490B">
        <w:rPr>
          <w:rFonts w:cs="Arial"/>
          <w:b/>
          <w:szCs w:val="24"/>
          <w:lang w:val="es-ES" w:eastAsia="es-ES"/>
        </w:rPr>
        <w:t>3</w:t>
      </w:r>
      <w:r w:rsidRPr="002F577D">
        <w:rPr>
          <w:rFonts w:cs="Arial"/>
          <w:b/>
          <w:szCs w:val="24"/>
          <w:lang w:val="es-ES" w:eastAsia="es-ES"/>
        </w:rPr>
        <w:t>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92052"/>
    <w:rsid w:val="001948E9"/>
    <w:rsid w:val="001C5749"/>
    <w:rsid w:val="002012AF"/>
    <w:rsid w:val="00281F67"/>
    <w:rsid w:val="002F577D"/>
    <w:rsid w:val="002F65F3"/>
    <w:rsid w:val="0035556F"/>
    <w:rsid w:val="003B538D"/>
    <w:rsid w:val="003E2820"/>
    <w:rsid w:val="003F2190"/>
    <w:rsid w:val="0042490B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F34D6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5446D"/>
    <w:rsid w:val="00982149"/>
    <w:rsid w:val="009D2EFA"/>
    <w:rsid w:val="00A20EFA"/>
    <w:rsid w:val="00A70D3E"/>
    <w:rsid w:val="00A826B3"/>
    <w:rsid w:val="00AF1D6A"/>
    <w:rsid w:val="00AF573E"/>
    <w:rsid w:val="00B32B27"/>
    <w:rsid w:val="00B62E1B"/>
    <w:rsid w:val="00BE11A5"/>
    <w:rsid w:val="00C25F12"/>
    <w:rsid w:val="00C33D10"/>
    <w:rsid w:val="00D07CBE"/>
    <w:rsid w:val="00D74449"/>
    <w:rsid w:val="00D817A7"/>
    <w:rsid w:val="00D92BD1"/>
    <w:rsid w:val="00DC7FB8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2014-09-30T14:28:00Z</cp:lastPrinted>
  <dcterms:created xsi:type="dcterms:W3CDTF">2025-07-06T17:55:00Z</dcterms:created>
  <dcterms:modified xsi:type="dcterms:W3CDTF">2025-07-06T17:55:00Z</dcterms:modified>
</cp:coreProperties>
</file>