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AD5432">
        <w:rPr>
          <w:lang w:val="es-AR"/>
        </w:rPr>
        <w:t>209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5D55E7" w:rsidRDefault="005D55E7" w:rsidP="005D55E7">
      <w:pPr>
        <w:ind w:firstLine="720"/>
        <w:jc w:val="both"/>
        <w:rPr>
          <w:lang w:val="es-ES" w:eastAsia="es-ES"/>
        </w:rPr>
      </w:pPr>
      <w:r>
        <w:rPr>
          <w:rFonts w:cs="Arial"/>
          <w:szCs w:val="24"/>
          <w:lang w:val="es-ES" w:eastAsia="es-ES"/>
        </w:rPr>
        <w:t>El Convenio ME Nº 784/2014 firmado entre el Sr. Rector de la Universidad Nacional del Sur y el Sr. Secretario de Políticas Universitarias, por el cual se financian mediante Contrato Programa cargos docentes para la carrera Ingeniería en Computación en el marco del en el marco del “Proyecto</w:t>
      </w:r>
      <w:r w:rsidRPr="00B32B27">
        <w:rPr>
          <w:rFonts w:cs="Arial"/>
          <w:szCs w:val="24"/>
          <w:lang w:val="es-ES" w:eastAsia="es-ES"/>
        </w:rPr>
        <w:t xml:space="preserve"> de Mejora para Car</w:t>
      </w:r>
      <w:r>
        <w:rPr>
          <w:rFonts w:cs="Arial"/>
          <w:szCs w:val="24"/>
          <w:lang w:val="es-ES" w:eastAsia="es-ES"/>
        </w:rPr>
        <w:t>reras de Informática” (PROMINF);</w:t>
      </w:r>
      <w:r>
        <w:rPr>
          <w:lang w:val="es-ES" w:eastAsia="es-ES"/>
        </w:rPr>
        <w:t xml:space="preserve"> </w:t>
      </w:r>
    </w:p>
    <w:p w:rsidR="005D55E7" w:rsidRDefault="005D55E7" w:rsidP="005D55E7">
      <w:pPr>
        <w:ind w:firstLine="720"/>
        <w:jc w:val="both"/>
        <w:rPr>
          <w:lang w:val="es-ES" w:eastAsia="es-ES"/>
        </w:rPr>
      </w:pPr>
    </w:p>
    <w:p w:rsidR="005D55E7" w:rsidRPr="009D2EFA" w:rsidRDefault="005D55E7" w:rsidP="005D55E7">
      <w:pPr>
        <w:ind w:firstLine="720"/>
        <w:jc w:val="both"/>
        <w:rPr>
          <w:lang w:val="es-ES" w:eastAsia="es-ES"/>
        </w:rPr>
      </w:pPr>
      <w:r>
        <w:rPr>
          <w:lang w:val="es-ES" w:eastAsia="es-ES"/>
        </w:rPr>
        <w:t>El aval conferido por el Consejo Superior Universitario por resolución CSU-</w:t>
      </w:r>
      <w:r w:rsidR="00135CC5">
        <w:rPr>
          <w:lang w:val="es-ES" w:eastAsia="es-ES"/>
        </w:rPr>
        <w:t>654/14</w:t>
      </w:r>
    </w:p>
    <w:p w:rsidR="001948E9" w:rsidRDefault="005D55E7" w:rsidP="001948E9">
      <w:pPr>
        <w:ind w:hanging="90"/>
        <w:jc w:val="both"/>
        <w:rPr>
          <w:szCs w:val="24"/>
          <w:lang w:val="es-ES"/>
        </w:rPr>
      </w:pPr>
      <w:r>
        <w:rPr>
          <w:szCs w:val="24"/>
          <w:lang w:val="es-ES"/>
        </w:rPr>
        <w:t>y su rectificativa R-</w:t>
      </w:r>
      <w:r w:rsidR="00135CC5">
        <w:rPr>
          <w:szCs w:val="24"/>
          <w:lang w:val="es-ES"/>
        </w:rPr>
        <w:t>762/14; y</w:t>
      </w:r>
    </w:p>
    <w:p w:rsidR="005D55E7" w:rsidRDefault="005D55E7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4D3E6D" w:rsidRDefault="004D3E6D" w:rsidP="004D3E6D">
      <w:pPr>
        <w:spacing w:line="260" w:lineRule="exact"/>
        <w:ind w:right="-29"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en el marco del mencionado convenio se asignó a este Departamento un (1) cargo de Profesor Adjunto con dedicación simple a cargo </w:t>
      </w:r>
      <w:r w:rsidR="005D55E7">
        <w:rPr>
          <w:rFonts w:cs="Arial"/>
          <w:lang w:val="es-ES"/>
        </w:rPr>
        <w:t>de la</w:t>
      </w:r>
      <w:r>
        <w:rPr>
          <w:rFonts w:cs="Arial"/>
          <w:lang w:val="es-ES"/>
        </w:rPr>
        <w:t xml:space="preserve"> asignatura </w:t>
      </w:r>
      <w:r w:rsidR="005D55E7">
        <w:rPr>
          <w:rFonts w:cs="Arial"/>
          <w:lang w:val="es-ES"/>
        </w:rPr>
        <w:t>Práctica Profesional Supervisada</w:t>
      </w:r>
      <w:r>
        <w:rPr>
          <w:rFonts w:cs="Arial"/>
          <w:lang w:val="es-ES"/>
        </w:rPr>
        <w:t>;</w:t>
      </w:r>
    </w:p>
    <w:p w:rsidR="004D3E6D" w:rsidRDefault="004D3E6D" w:rsidP="004D3E6D">
      <w:pPr>
        <w:spacing w:line="260" w:lineRule="exact"/>
        <w:ind w:right="-29" w:firstLine="709"/>
        <w:jc w:val="both"/>
        <w:rPr>
          <w:rFonts w:cs="Arial"/>
          <w:lang w:val="es-ES"/>
        </w:rPr>
      </w:pPr>
    </w:p>
    <w:p w:rsidR="00135CC5" w:rsidRDefault="00135CC5" w:rsidP="00135CC5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>de fecha 26</w:t>
      </w:r>
      <w:r>
        <w:rPr>
          <w:lang w:val="es-AR"/>
        </w:rPr>
        <w:t xml:space="preserve"> de </w:t>
      </w:r>
      <w:r w:rsidR="00341C7F">
        <w:rPr>
          <w:lang w:val="es-AR"/>
        </w:rPr>
        <w:t xml:space="preserve">septiembre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Desarrollo de Sistemas</w:t>
      </w:r>
      <w:r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</w:t>
      </w:r>
      <w:r w:rsidR="004D3E6D">
        <w:rPr>
          <w:rFonts w:cs="Arial"/>
          <w:szCs w:val="24"/>
          <w:lang w:val="es-ES"/>
        </w:rPr>
        <w:t xml:space="preserve"> simple</w:t>
      </w:r>
      <w:r>
        <w:rPr>
          <w:rFonts w:cs="Arial"/>
          <w:szCs w:val="24"/>
          <w:lang w:val="es-ES"/>
        </w:rPr>
        <w:t xml:space="preserve">, asignatura </w:t>
      </w:r>
      <w:r>
        <w:rPr>
          <w:rFonts w:cs="Arial"/>
          <w:b/>
          <w:szCs w:val="24"/>
          <w:lang w:val="es-ES"/>
        </w:rPr>
        <w:t>Pr</w:t>
      </w:r>
      <w:r w:rsidR="004D3E6D">
        <w:rPr>
          <w:rFonts w:cs="Arial"/>
          <w:b/>
          <w:szCs w:val="24"/>
          <w:lang w:val="es-ES"/>
        </w:rPr>
        <w:t>áctica Profesional Supervisada (Cód. 7885</w:t>
      </w:r>
      <w:r>
        <w:rPr>
          <w:rFonts w:cs="Arial"/>
          <w:b/>
          <w:szCs w:val="24"/>
          <w:lang w:val="es-ES"/>
        </w:rPr>
        <w:t>)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135CC5" w:rsidRDefault="00135CC5" w:rsidP="00135CC5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///CDCIC-209/14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135CC5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Práctica Profesional Supervisada</w:t>
      </w:r>
      <w:r w:rsidR="00464C0E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D3E6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Ing. Marcelo Gustavo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Estayno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1429CD" w:rsidRDefault="00D37D4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D37D4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 Rodolfo del Castillo</w:t>
            </w:r>
          </w:p>
        </w:tc>
        <w:tc>
          <w:tcPr>
            <w:tcW w:w="5324" w:type="dxa"/>
            <w:shd w:val="clear" w:color="auto" w:fill="auto"/>
          </w:tcPr>
          <w:p w:rsidR="00464C0E" w:rsidRPr="00464C0E" w:rsidRDefault="00D37D4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D3E6D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Mabel Castro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D3E6D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Pablo Rubén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Fillottrani</w:t>
            </w:r>
            <w:proofErr w:type="spellEnd"/>
          </w:p>
        </w:tc>
      </w:tr>
    </w:tbl>
    <w:p w:rsidR="00135CC5" w:rsidRPr="00101D6B" w:rsidRDefault="00135CC5" w:rsidP="00135CC5">
      <w:pPr>
        <w:jc w:val="both"/>
        <w:rPr>
          <w:rFonts w:cs="Arial"/>
          <w:b/>
          <w:szCs w:val="24"/>
          <w:lang w:val="es-AR"/>
        </w:rPr>
      </w:pPr>
    </w:p>
    <w:p w:rsidR="004D3E6D" w:rsidRDefault="004D3E6D" w:rsidP="004D3E6D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4D3E6D" w:rsidRDefault="004D3E6D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135CC5" w:rsidP="00464C0E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 w:rsidR="00464C0E" w:rsidRPr="002F577D">
        <w:rPr>
          <w:rFonts w:cs="Arial"/>
          <w:b/>
          <w:szCs w:val="24"/>
          <w:lang w:val="en-US" w:eastAsia="es-ES"/>
        </w:rPr>
        <w:fldChar w:fldCharType="begin"/>
      </w:r>
      <w:r w:rsidR="00464C0E"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="00464C0E" w:rsidRPr="002F577D">
        <w:rPr>
          <w:rFonts w:cs="Arial"/>
          <w:b/>
          <w:szCs w:val="24"/>
          <w:lang w:val="en-US" w:eastAsia="es-ES"/>
        </w:rPr>
        <w:fldChar w:fldCharType="separate"/>
      </w:r>
      <w:r w:rsidR="00464C0E" w:rsidRPr="002F577D">
        <w:rPr>
          <w:rFonts w:cs="Arial"/>
          <w:b/>
          <w:szCs w:val="24"/>
          <w:lang w:val="es-ES" w:eastAsia="es-ES"/>
        </w:rPr>
        <w:t>°</w:t>
      </w:r>
      <w:r w:rsidR="00464C0E" w:rsidRPr="002F577D">
        <w:rPr>
          <w:rFonts w:cs="Arial"/>
          <w:b/>
          <w:szCs w:val="24"/>
          <w:lang w:val="en-US" w:eastAsia="es-ES"/>
        </w:rPr>
        <w:fldChar w:fldCharType="end"/>
      </w:r>
      <w:r w:rsidR="00464C0E" w:rsidRPr="002F577D">
        <w:rPr>
          <w:rFonts w:cs="Arial"/>
          <w:b/>
          <w:szCs w:val="24"/>
          <w:lang w:val="es-ES" w:eastAsia="es-ES"/>
        </w:rPr>
        <w:t>).-</w:t>
      </w:r>
      <w:r w:rsidR="00464C0E"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 xml:space="preserve">Art. </w:t>
      </w:r>
      <w:r w:rsidR="00135CC5" w:rsidRPr="00135CC5">
        <w:rPr>
          <w:rFonts w:cs="Arial"/>
          <w:b/>
          <w:szCs w:val="24"/>
          <w:lang w:val="es-ES" w:eastAsia="es-ES"/>
        </w:rPr>
        <w:t>5</w:t>
      </w:r>
      <w:r w:rsidRPr="00135CC5">
        <w:rPr>
          <w:rFonts w:cs="Arial"/>
          <w:b/>
          <w:szCs w:val="24"/>
          <w:lang w:val="es-ES" w:eastAsia="es-ES"/>
        </w:rPr>
        <w:t>º</w:t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35CC5"/>
    <w:rsid w:val="00192052"/>
    <w:rsid w:val="001948E9"/>
    <w:rsid w:val="001C5749"/>
    <w:rsid w:val="00281F67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3E6D"/>
    <w:rsid w:val="004D5C45"/>
    <w:rsid w:val="004D739A"/>
    <w:rsid w:val="0052255C"/>
    <w:rsid w:val="00526617"/>
    <w:rsid w:val="005B6D7E"/>
    <w:rsid w:val="005D55E7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D2EFA"/>
    <w:rsid w:val="00A20EFA"/>
    <w:rsid w:val="00A27713"/>
    <w:rsid w:val="00A70D3E"/>
    <w:rsid w:val="00A826B3"/>
    <w:rsid w:val="00AD5432"/>
    <w:rsid w:val="00AF1D6A"/>
    <w:rsid w:val="00AF573E"/>
    <w:rsid w:val="00B62E1B"/>
    <w:rsid w:val="00BE11A5"/>
    <w:rsid w:val="00C10F3B"/>
    <w:rsid w:val="00C22AA7"/>
    <w:rsid w:val="00C25F12"/>
    <w:rsid w:val="00C33D10"/>
    <w:rsid w:val="00C74832"/>
    <w:rsid w:val="00CF6907"/>
    <w:rsid w:val="00D07CBE"/>
    <w:rsid w:val="00D37D4D"/>
    <w:rsid w:val="00D74449"/>
    <w:rsid w:val="00D817A7"/>
    <w:rsid w:val="00D92BD1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2014-11-28T12:18:00Z</cp:lastPrinted>
  <dcterms:created xsi:type="dcterms:W3CDTF">2025-07-06T17:55:00Z</dcterms:created>
  <dcterms:modified xsi:type="dcterms:W3CDTF">2025-07-06T17:55:00Z</dcterms:modified>
</cp:coreProperties>
</file>