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F76D8">
        <w:rPr>
          <w:rFonts w:ascii="Arial" w:hAnsi="Arial" w:cs="Arial"/>
          <w:b/>
          <w:sz w:val="24"/>
          <w:lang w:val="es-AR"/>
        </w:rPr>
        <w:t>240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14 de diciembre</w:t>
      </w:r>
      <w:r w:rsidRPr="00EF76D8">
        <w:rPr>
          <w:rFonts w:ascii="Arial" w:hAnsi="Arial" w:cs="Arial"/>
          <w:sz w:val="24"/>
        </w:rPr>
        <w:t xml:space="preserve"> de 2014 operará el vencimiento de la designación</w:t>
      </w:r>
      <w:r>
        <w:rPr>
          <w:rFonts w:ascii="Arial" w:hAnsi="Arial" w:cs="Arial"/>
          <w:sz w:val="24"/>
        </w:rPr>
        <w:t xml:space="preserve"> del Dr. Diego García</w:t>
      </w:r>
      <w:r w:rsidRPr="00EF76D8">
        <w:rPr>
          <w:rFonts w:ascii="Arial" w:hAnsi="Arial" w:cs="Arial"/>
          <w:sz w:val="24"/>
        </w:rPr>
        <w:t xml:space="preserve"> en un cargo de </w:t>
      </w:r>
      <w:r w:rsidRPr="00EF76D8">
        <w:rPr>
          <w:rFonts w:ascii="Arial" w:hAnsi="Arial"/>
          <w:sz w:val="24"/>
          <w:lang w:eastAsia="en-US"/>
        </w:rPr>
        <w:t>Asistente d</w:t>
      </w:r>
      <w:r>
        <w:rPr>
          <w:rFonts w:ascii="Arial" w:hAnsi="Arial"/>
          <w:sz w:val="24"/>
          <w:lang w:eastAsia="en-US"/>
        </w:rPr>
        <w:t>e Docencia con dedicación exclusiva</w:t>
      </w:r>
      <w:r w:rsidRPr="00EF76D8">
        <w:rPr>
          <w:rFonts w:ascii="Arial" w:hAnsi="Arial"/>
          <w:sz w:val="24"/>
          <w:lang w:eastAsia="en-US"/>
        </w:rPr>
        <w:t xml:space="preserve"> en la asignatura: </w:t>
      </w:r>
      <w:r w:rsidRPr="00EF76D8">
        <w:rPr>
          <w:rFonts w:ascii="Arial" w:hAnsi="Arial"/>
          <w:bCs/>
          <w:i/>
          <w:iCs/>
          <w:sz w:val="24"/>
          <w:lang w:eastAsia="en-US"/>
        </w:rPr>
        <w:t>“</w:t>
      </w:r>
      <w:r>
        <w:rPr>
          <w:rFonts w:ascii="Arial" w:hAnsi="Arial"/>
          <w:bCs/>
          <w:i/>
          <w:iCs/>
          <w:sz w:val="24"/>
          <w:lang w:eastAsia="en-US"/>
        </w:rPr>
        <w:t>Bases de Datos</w:t>
      </w:r>
      <w:r w:rsidRPr="00EF76D8">
        <w:rPr>
          <w:rFonts w:ascii="Arial" w:hAnsi="Arial" w:cs="Arial"/>
          <w:b/>
          <w:i/>
          <w:sz w:val="24"/>
        </w:rPr>
        <w:t xml:space="preserve">”; </w:t>
      </w:r>
      <w:r w:rsidRPr="00EF76D8">
        <w:rPr>
          <w:rFonts w:ascii="Arial" w:hAnsi="Arial" w:cs="Arial"/>
          <w:sz w:val="24"/>
        </w:rPr>
        <w:t xml:space="preserve">y  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szCs w:val="24"/>
          <w:lang w:eastAsia="en-US"/>
        </w:rPr>
      </w:pPr>
      <w:r w:rsidRPr="00EF76D8">
        <w:rPr>
          <w:rFonts w:ascii="Arial" w:hAnsi="Arial"/>
          <w:b/>
          <w:sz w:val="24"/>
          <w:szCs w:val="24"/>
          <w:lang w:eastAsia="en-US"/>
        </w:rPr>
        <w:t>CONSIDERANDO:</w:t>
      </w:r>
    </w:p>
    <w:p w:rsidR="00EF76D8" w:rsidRPr="00EF76D8" w:rsidRDefault="00EF76D8" w:rsidP="00EF76D8">
      <w:pPr>
        <w:rPr>
          <w:sz w:val="24"/>
          <w:szCs w:val="24"/>
          <w:lang w:eastAsia="en-US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>Que es necesario para la cátedra contar con la continuidad del mencionado docente mientras se tramita el correspondiente llamado a concurso;</w:t>
      </w:r>
    </w:p>
    <w:p w:rsidR="00EF76D8" w:rsidRPr="00EF76D8" w:rsidRDefault="00EF76D8" w:rsidP="00EF76D8">
      <w:pPr>
        <w:jc w:val="both"/>
        <w:rPr>
          <w:rFonts w:ascii="Arial" w:hAnsi="Arial" w:cs="Arial"/>
          <w:sz w:val="24"/>
        </w:rPr>
      </w:pPr>
    </w:p>
    <w:p w:rsidR="00EF76D8" w:rsidRPr="00EF76D8" w:rsidRDefault="00EF76D8" w:rsidP="00EF76D8">
      <w:pPr>
        <w:ind w:firstLine="851"/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sz w:val="24"/>
        </w:rPr>
        <w:t xml:space="preserve">Que por resolución CSU-036/89 (Art. 1º) el Consejo Superior Universitario facultó a los Consejos Departamentales a efectuar prórrogas de designación;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EF76D8" w:rsidRPr="00EF76D8" w:rsidRDefault="00EF76D8" w:rsidP="00EF76D8">
      <w:pPr>
        <w:spacing w:line="260" w:lineRule="exact"/>
        <w:jc w:val="both"/>
        <w:rPr>
          <w:rFonts w:ascii="Arial" w:hAnsi="Arial" w:cs="Arial"/>
          <w:sz w:val="24"/>
          <w:lang w:eastAsia="en-US"/>
        </w:rPr>
      </w:pPr>
      <w:r w:rsidRPr="00EF76D8">
        <w:rPr>
          <w:rFonts w:ascii="Arial" w:hAnsi="Arial" w:cs="Arial"/>
          <w:b/>
          <w:sz w:val="24"/>
        </w:rPr>
        <w:t>Art. 1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  <w:szCs w:val="24"/>
          <w:lang w:val="es-AR" w:eastAsia="en-US"/>
        </w:rPr>
        <w:t>Doctor</w:t>
      </w:r>
      <w:r w:rsidRPr="00EF76D8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>
        <w:rPr>
          <w:rFonts w:ascii="Arial" w:hAnsi="Arial"/>
          <w:b/>
          <w:sz w:val="24"/>
          <w:lang w:val="es-AR"/>
        </w:rPr>
        <w:t xml:space="preserve">Diego Ramiro GARCIA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AR"/>
        </w:rPr>
        <w:t xml:space="preserve">, en un cargo de Asistente de Docencia con dedicación exclusiva, en el Área: III, Disciplina: Desarrollo de Sistemas, asignatura: </w:t>
      </w:r>
      <w:r>
        <w:rPr>
          <w:rFonts w:ascii="Arial" w:hAnsi="Arial"/>
          <w:b/>
          <w:sz w:val="24"/>
          <w:lang w:val="es-AR"/>
        </w:rPr>
        <w:t>“Bases de Datos”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7552)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</w:t>
      </w:r>
      <w:r>
        <w:rPr>
          <w:rFonts w:ascii="Arial" w:hAnsi="Arial" w:cs="Arial"/>
          <w:sz w:val="24"/>
          <w:lang w:eastAsia="en-US"/>
        </w:rPr>
        <w:t>a partir del 15</w:t>
      </w:r>
      <w:r w:rsidRPr="00EF76D8">
        <w:rPr>
          <w:rFonts w:ascii="Arial" w:hAnsi="Arial" w:cs="Arial"/>
          <w:sz w:val="24"/>
          <w:lang w:eastAsia="en-US"/>
        </w:rPr>
        <w:t xml:space="preserve"> de </w:t>
      </w:r>
      <w:r>
        <w:rPr>
          <w:rFonts w:ascii="Arial" w:hAnsi="Arial" w:cs="Arial"/>
          <w:sz w:val="24"/>
          <w:lang w:eastAsia="en-US"/>
        </w:rPr>
        <w:t>diciembre</w:t>
      </w:r>
      <w:r w:rsidRPr="00EF76D8">
        <w:rPr>
          <w:rFonts w:ascii="Arial" w:hAnsi="Arial" w:cs="Arial"/>
          <w:sz w:val="24"/>
          <w:lang w:eastAsia="en-US"/>
        </w:rPr>
        <w:t xml:space="preserve"> de 2014 y </w:t>
      </w:r>
      <w:r w:rsidRPr="00EF76D8">
        <w:rPr>
          <w:rFonts w:ascii="Arial" w:hAnsi="Arial" w:cs="Arial"/>
          <w:sz w:val="24"/>
        </w:rPr>
        <w:t xml:space="preserve">hasta el 31 de agosto de 2015 </w:t>
      </w:r>
      <w:r w:rsidRPr="00EF76D8">
        <w:rPr>
          <w:rFonts w:ascii="Arial" w:hAnsi="Arial" w:cs="Arial"/>
          <w:b/>
          <w:sz w:val="24"/>
          <w:u w:val="single"/>
        </w:rPr>
        <w:t>o</w:t>
      </w:r>
      <w:r w:rsidRPr="00EF76D8">
        <w:rPr>
          <w:rFonts w:ascii="Arial" w:hAnsi="Arial" w:cs="Arial"/>
          <w:sz w:val="24"/>
        </w:rPr>
        <w:t xml:space="preserve"> la sustanciación del respectivo concurso.-</w:t>
      </w: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EF76D8" w:rsidRPr="00EF76D8" w:rsidRDefault="00EF76D8" w:rsidP="00EF76D8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 w:rsidRPr="00EF76D8">
        <w:rPr>
          <w:rFonts w:ascii="Arial" w:hAnsi="Arial" w:cs="Arial"/>
          <w:b/>
          <w:sz w:val="24"/>
        </w:rPr>
        <w:t>Art. 2</w:t>
      </w:r>
      <w:r w:rsidRPr="00EF76D8">
        <w:rPr>
          <w:rFonts w:ascii="Arial" w:hAnsi="Arial" w:cs="Arial"/>
          <w:b/>
          <w:sz w:val="24"/>
        </w:rPr>
        <w:sym w:font="Symbol" w:char="F0B0"/>
      </w:r>
      <w:r w:rsidRPr="00EF76D8">
        <w:rPr>
          <w:rFonts w:ascii="Arial" w:hAnsi="Arial" w:cs="Arial"/>
          <w:b/>
          <w:sz w:val="24"/>
        </w:rPr>
        <w:t>)</w:t>
      </w:r>
      <w:r w:rsidRPr="00EF76D8">
        <w:rPr>
          <w:rFonts w:ascii="Arial" w:hAnsi="Arial" w:cs="Arial"/>
          <w:sz w:val="24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02DD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6D8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