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35974">
        <w:rPr>
          <w:lang w:val="es-AR"/>
        </w:rPr>
        <w:t>27</w:t>
      </w:r>
      <w:r w:rsidR="00A878E2">
        <w:rPr>
          <w:lang w:val="es-AR"/>
        </w:rPr>
        <w:t>9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C2CD6" w:rsidRPr="00BC2CD6" w:rsidRDefault="00E70380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resolución </w:t>
      </w:r>
      <w:r w:rsidR="00BC2CD6"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="00A878E2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CSU-1521/14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de nivelación del Ingreso  a la UNS;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CONSIDERANDO: 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esta unidad académica implementó un curso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Análisis y Comprensión de Problemas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a cualquiera de las carreras que se dictan en este departamento;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E70380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los Consejos Departamentales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Economía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Ciencias de la Administración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Licenciatura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 para la Enseñanza Secundaria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Licenciatura en Administración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Contador Público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;</w:t>
      </w:r>
    </w:p>
    <w:p w:rsidR="00E70380" w:rsidRDefault="00E70380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Que la Comisión ad-hoc designada para analizar los antecedentes de los inscriptos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, recomienda la designación </w:t>
      </w:r>
      <w:r w:rsidR="00E70380">
        <w:rPr>
          <w:rFonts w:ascii="Arial" w:hAnsi="Arial" w:cs="Arial"/>
          <w:bCs/>
          <w:snapToGrid/>
          <w:sz w:val="24"/>
          <w:lang w:val="es-ES_tradnl"/>
        </w:rPr>
        <w:t>de</w:t>
      </w:r>
      <w:r w:rsidR="00A878E2">
        <w:rPr>
          <w:rFonts w:ascii="Arial" w:hAnsi="Arial" w:cs="Arial"/>
          <w:bCs/>
          <w:snapToGrid/>
          <w:sz w:val="24"/>
          <w:lang w:val="es-ES_tradnl"/>
        </w:rPr>
        <w:t xml:space="preserve"> 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="00A878E2">
        <w:rPr>
          <w:rFonts w:ascii="Arial" w:hAnsi="Arial" w:cs="Arial"/>
          <w:bCs/>
          <w:snapToGrid/>
          <w:sz w:val="24"/>
          <w:lang w:val="es-ES_tradnl"/>
        </w:rPr>
        <w:t>a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 Lic. </w:t>
      </w:r>
      <w:r w:rsidR="00A878E2">
        <w:rPr>
          <w:rFonts w:ascii="Arial" w:hAnsi="Arial" w:cs="Arial"/>
          <w:bCs/>
          <w:snapToGrid/>
          <w:sz w:val="24"/>
          <w:lang w:val="es-ES_tradnl"/>
        </w:rPr>
        <w:t>Cecilia Baggio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 como Auxiliar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de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Docencia del curso de nivelación de Análisis y Comprensión de Problemas;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1º).-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Contratar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snapToGrid/>
          <w:sz w:val="24"/>
          <w:lang w:val="es-ES" w:eastAsia="en-US"/>
        </w:rPr>
        <w:t>a la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b/>
          <w:snapToGrid/>
          <w:sz w:val="24"/>
          <w:lang w:val="es-ES" w:eastAsia="en-US"/>
        </w:rPr>
        <w:t>Licenciada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b/>
          <w:snapToGrid/>
          <w:sz w:val="24"/>
          <w:lang w:val="es-ES" w:eastAsia="en-US"/>
        </w:rPr>
        <w:t xml:space="preserve">Cecilia </w:t>
      </w:r>
      <w:r w:rsidR="008D28C9">
        <w:rPr>
          <w:rFonts w:ascii="Arial" w:hAnsi="Arial" w:cs="Arial"/>
          <w:b/>
          <w:snapToGrid/>
          <w:sz w:val="24"/>
          <w:lang w:val="es-ES" w:eastAsia="en-US"/>
        </w:rPr>
        <w:t>Baggio</w:t>
      </w:r>
      <w:r w:rsidRPr="00E70380">
        <w:rPr>
          <w:rFonts w:ascii="Arial" w:hAnsi="Arial" w:cs="Arial"/>
          <w:b/>
          <w:snapToGrid/>
          <w:sz w:val="24"/>
          <w:lang w:val="es-AR" w:eastAsia="en-US"/>
        </w:rPr>
        <w:t xml:space="preserve"> 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(Leg. </w:t>
      </w:r>
      <w:r w:rsidR="008D28C9">
        <w:rPr>
          <w:rFonts w:ascii="Arial" w:hAnsi="Arial" w:cs="Arial"/>
          <w:snapToGrid/>
          <w:sz w:val="24"/>
          <w:lang w:val="es-ES_tradnl" w:eastAsia="en-US"/>
        </w:rPr>
        <w:t>13090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)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para cumplir funciones de 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Auxiliar de Docencia en </w:t>
      </w:r>
      <w:r w:rsidRPr="00E70380">
        <w:rPr>
          <w:rFonts w:ascii="Arial" w:hAnsi="Arial" w:cs="Arial"/>
          <w:b/>
          <w:snapToGrid/>
          <w:sz w:val="24"/>
          <w:u w:val="single"/>
          <w:lang w:val="es-ES" w:eastAsia="en-US"/>
        </w:rPr>
        <w:t>un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/>
          <w:snapToGrid/>
          <w:sz w:val="24"/>
          <w:lang w:val="es-ES" w:eastAsia="en-US"/>
        </w:rPr>
        <w:t>(1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77121">
        <w:rPr>
          <w:rFonts w:ascii="Arial" w:hAnsi="Arial" w:cs="Arial"/>
          <w:snapToGrid/>
          <w:sz w:val="24"/>
          <w:lang w:val="es-ES" w:eastAsia="en-US"/>
        </w:rPr>
        <w:t>a partir del 26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de </w:t>
      </w:r>
      <w:r>
        <w:rPr>
          <w:rFonts w:ascii="Arial" w:hAnsi="Arial" w:cs="Arial"/>
          <w:snapToGrid/>
          <w:sz w:val="24"/>
          <w:lang w:val="es-ES" w:eastAsia="en-US"/>
        </w:rPr>
        <w:t>enero y hasta el 13 de marzo de 2015</w:t>
      </w:r>
      <w:r w:rsidRPr="00E70380">
        <w:rPr>
          <w:rFonts w:ascii="Arial" w:hAnsi="Arial" w:cs="Arial"/>
          <w:snapToGrid/>
          <w:sz w:val="24"/>
          <w:lang w:val="es-ES" w:eastAsia="en-US"/>
        </w:rPr>
        <w:t>.-</w:t>
      </w: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>
        <w:rPr>
          <w:rFonts w:ascii="Arial" w:hAnsi="Arial"/>
          <w:sz w:val="24"/>
          <w:szCs w:val="24"/>
          <w:lang w:val="es-ES_tradnl"/>
        </w:rPr>
        <w:t xml:space="preserve">Por la prestación de sus servicios el docente percibirá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una suma única y fija, remunerativa y no bonificable, de 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TRES MIL CUARENTA y TRES ($ 3.042,00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.-)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3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0380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E70380" w:rsidRDefault="00E70380" w:rsidP="00E7038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AR" w:eastAsia="en-US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</w:t>
      </w: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sectPr w:rsidR="00BC2CD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A1A23"/>
    <w:rsid w:val="00702E2A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64C16"/>
    <w:rsid w:val="008A4207"/>
    <w:rsid w:val="008B1F2D"/>
    <w:rsid w:val="008C2C19"/>
    <w:rsid w:val="008D28C9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77121"/>
    <w:rsid w:val="00A80C74"/>
    <w:rsid w:val="00A878E2"/>
    <w:rsid w:val="00AA26EA"/>
    <w:rsid w:val="00AB2484"/>
    <w:rsid w:val="00AC760D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E3110"/>
    <w:rsid w:val="00BF22AD"/>
    <w:rsid w:val="00C2757D"/>
    <w:rsid w:val="00C4527F"/>
    <w:rsid w:val="00CA0E6E"/>
    <w:rsid w:val="00CC0FFF"/>
    <w:rsid w:val="00CC5909"/>
    <w:rsid w:val="00CE1537"/>
    <w:rsid w:val="00D04842"/>
    <w:rsid w:val="00D34D58"/>
    <w:rsid w:val="00D37FFA"/>
    <w:rsid w:val="00D605ED"/>
    <w:rsid w:val="00D8788B"/>
    <w:rsid w:val="00DA686E"/>
    <w:rsid w:val="00DB066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0FE5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