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A8" w:rsidRDefault="002228A8">
      <w:pPr>
        <w:pStyle w:val="Ttulo2"/>
        <w:rPr>
          <w:color w:val="000000"/>
          <w:lang w:val="es-ES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71354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7C142D">
        <w:rPr>
          <w:color w:val="000000"/>
          <w:lang w:val="es-ES"/>
        </w:rPr>
        <w:t>281/14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7C7D86" w:rsidP="007C142D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>La Res. CDCIC223/11 que establece el reglamento de funcionamiento de la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Comisi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Asesora del Programa de Posgrado de Ciencias e Ingenier</w:t>
      </w:r>
      <w:r w:rsidRPr="007C7D86">
        <w:rPr>
          <w:rFonts w:ascii="Arial" w:hAnsi="Arial" w:hint="cs"/>
          <w:color w:val="000000"/>
          <w:sz w:val="24"/>
        </w:rPr>
        <w:t>í</w:t>
      </w:r>
      <w:r w:rsidRPr="007C7D86">
        <w:rPr>
          <w:rFonts w:ascii="Arial" w:hAnsi="Arial"/>
          <w:color w:val="000000"/>
          <w:sz w:val="24"/>
        </w:rPr>
        <w:t>a de la</w:t>
      </w:r>
      <w:r>
        <w:rPr>
          <w:rFonts w:ascii="Arial" w:hAnsi="Arial"/>
          <w:color w:val="000000"/>
          <w:sz w:val="24"/>
        </w:rPr>
        <w:t xml:space="preserve"> </w:t>
      </w:r>
      <w:r w:rsidRPr="007C7D86">
        <w:rPr>
          <w:rFonts w:ascii="Arial" w:hAnsi="Arial"/>
          <w:color w:val="000000"/>
          <w:sz w:val="24"/>
        </w:rPr>
        <w:t>Computaci</w:t>
      </w:r>
      <w:r w:rsidRPr="007C7D86">
        <w:rPr>
          <w:rFonts w:ascii="Arial" w:hAnsi="Arial" w:hint="cs"/>
          <w:color w:val="000000"/>
          <w:sz w:val="24"/>
        </w:rPr>
        <w:t>ó</w:t>
      </w:r>
      <w:r w:rsidRPr="007C7D86">
        <w:rPr>
          <w:rFonts w:ascii="Arial" w:hAnsi="Arial"/>
          <w:color w:val="000000"/>
          <w:sz w:val="24"/>
        </w:rPr>
        <w:t>n (CAPPCIC)</w:t>
      </w:r>
      <w:r w:rsidR="007C142D">
        <w:rPr>
          <w:rFonts w:ascii="Arial" w:hAnsi="Arial"/>
          <w:color w:val="000000"/>
          <w:sz w:val="24"/>
        </w:rPr>
        <w:t>; y</w:t>
      </w:r>
    </w:p>
    <w:p w:rsidR="007C7D86" w:rsidRDefault="007C7D86" w:rsidP="007C7D86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A76BCF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A76BCF" w:rsidRPr="00A76BCF" w:rsidRDefault="00A76BCF" w:rsidP="007C7D86">
      <w:pPr>
        <w:rPr>
          <w:rFonts w:ascii="Arial" w:hAnsi="Arial"/>
          <w:b/>
          <w:color w:val="000000"/>
          <w:sz w:val="24"/>
        </w:rPr>
      </w:pPr>
    </w:p>
    <w:p w:rsidR="007C7D86" w:rsidRDefault="007C7D8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7C7D86">
        <w:rPr>
          <w:rFonts w:ascii="Arial" w:hAnsi="Arial"/>
          <w:color w:val="000000"/>
          <w:sz w:val="24"/>
        </w:rPr>
        <w:t xml:space="preserve">Que </w:t>
      </w:r>
      <w:r w:rsidR="007C142D">
        <w:rPr>
          <w:rFonts w:ascii="Arial" w:hAnsi="Arial"/>
          <w:color w:val="000000"/>
          <w:sz w:val="24"/>
        </w:rPr>
        <w:t>e</w:t>
      </w:r>
      <w:r w:rsidR="009A6D1A">
        <w:rPr>
          <w:rFonts w:ascii="Arial" w:hAnsi="Arial"/>
          <w:color w:val="000000"/>
          <w:sz w:val="24"/>
        </w:rPr>
        <w:t>l mismo establece en su Art. 10°) que t</w:t>
      </w:r>
      <w:r w:rsidR="007C142D" w:rsidRPr="007C142D">
        <w:rPr>
          <w:rFonts w:ascii="Arial" w:hAnsi="Arial"/>
          <w:color w:val="000000"/>
          <w:sz w:val="24"/>
        </w:rPr>
        <w:t xml:space="preserve">odo alumno inscripto en una carrera de posgrado cuyo Plan de Estudio sea no estructurado deberá realizar un curso de posgrado relacionado con Metodología de la Investigación </w:t>
      </w:r>
      <w:r w:rsidR="009A6D1A">
        <w:rPr>
          <w:rFonts w:ascii="Arial" w:hAnsi="Arial"/>
          <w:color w:val="000000"/>
          <w:sz w:val="24"/>
        </w:rPr>
        <w:t xml:space="preserve">como parte de su plan de cursos; </w:t>
      </w:r>
    </w:p>
    <w:p w:rsidR="00D16228" w:rsidRDefault="00D16228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D16228" w:rsidRDefault="00D16228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si bien esto responde a un requ</w:t>
      </w:r>
      <w:r w:rsidR="000A14C5">
        <w:rPr>
          <w:rFonts w:ascii="Arial" w:hAnsi="Arial"/>
          <w:color w:val="000000"/>
          <w:sz w:val="24"/>
        </w:rPr>
        <w:t xml:space="preserve">erimiento de la CONEAU, el mismo </w:t>
      </w:r>
      <w:r>
        <w:rPr>
          <w:rFonts w:ascii="Arial" w:hAnsi="Arial"/>
          <w:color w:val="000000"/>
          <w:sz w:val="24"/>
        </w:rPr>
        <w:t>señalab</w:t>
      </w:r>
      <w:r w:rsidR="000A14C5">
        <w:rPr>
          <w:rFonts w:ascii="Arial" w:hAnsi="Arial"/>
          <w:color w:val="000000"/>
          <w:sz w:val="24"/>
        </w:rPr>
        <w:t>a la</w:t>
      </w:r>
      <w:r>
        <w:rPr>
          <w:rFonts w:ascii="Arial" w:hAnsi="Arial"/>
          <w:color w:val="000000"/>
          <w:sz w:val="24"/>
        </w:rPr>
        <w:t xml:space="preserve"> c</w:t>
      </w:r>
      <w:r w:rsidR="000A14C5">
        <w:rPr>
          <w:rFonts w:ascii="Arial" w:hAnsi="Arial"/>
          <w:color w:val="000000"/>
          <w:sz w:val="24"/>
        </w:rPr>
        <w:t>onveniencia, no obligatoriedad</w:t>
      </w:r>
      <w:r>
        <w:rPr>
          <w:rFonts w:ascii="Arial" w:hAnsi="Arial"/>
          <w:color w:val="000000"/>
          <w:sz w:val="24"/>
        </w:rPr>
        <w:t xml:space="preserve">, </w:t>
      </w:r>
      <w:r w:rsidR="000A14C5">
        <w:rPr>
          <w:rFonts w:ascii="Arial" w:hAnsi="Arial"/>
          <w:color w:val="000000"/>
          <w:sz w:val="24"/>
        </w:rPr>
        <w:t xml:space="preserve">de </w:t>
      </w:r>
      <w:r>
        <w:rPr>
          <w:rFonts w:ascii="Arial" w:hAnsi="Arial"/>
          <w:color w:val="000000"/>
          <w:sz w:val="24"/>
        </w:rPr>
        <w:t xml:space="preserve">ofrecer algún curso en Metodología de la Investigación que prepare al doctorado en el entorno científico; </w:t>
      </w:r>
    </w:p>
    <w:p w:rsidR="00D16228" w:rsidRDefault="00D16228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D16228" w:rsidRDefault="00D16228" w:rsidP="00D1622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 participación de </w:t>
      </w:r>
      <w:r w:rsidR="00574DCF">
        <w:rPr>
          <w:rFonts w:ascii="Arial" w:hAnsi="Arial"/>
          <w:color w:val="000000"/>
          <w:sz w:val="24"/>
        </w:rPr>
        <w:t xml:space="preserve">los </w:t>
      </w:r>
      <w:r>
        <w:rPr>
          <w:rFonts w:ascii="Arial" w:hAnsi="Arial"/>
          <w:color w:val="000000"/>
          <w:sz w:val="24"/>
        </w:rPr>
        <w:t xml:space="preserve">alumnos </w:t>
      </w:r>
      <w:r w:rsidR="00574DCF">
        <w:rPr>
          <w:rFonts w:ascii="Arial" w:hAnsi="Arial"/>
          <w:color w:val="000000"/>
          <w:sz w:val="24"/>
        </w:rPr>
        <w:t xml:space="preserve">de posgrado </w:t>
      </w:r>
      <w:r>
        <w:rPr>
          <w:rFonts w:ascii="Arial" w:hAnsi="Arial"/>
          <w:color w:val="000000"/>
          <w:sz w:val="24"/>
        </w:rPr>
        <w:t>en equipos de investigación</w:t>
      </w:r>
      <w:r w:rsidR="00574DCF">
        <w:rPr>
          <w:rFonts w:ascii="Arial" w:hAnsi="Arial"/>
          <w:color w:val="000000"/>
          <w:sz w:val="24"/>
        </w:rPr>
        <w:t xml:space="preserve"> también brinda la oportunidad de desarrollar las condiciones para desenvolverse</w:t>
      </w:r>
      <w:r>
        <w:rPr>
          <w:rFonts w:ascii="Arial" w:hAnsi="Arial"/>
          <w:color w:val="000000"/>
          <w:sz w:val="24"/>
        </w:rPr>
        <w:t xml:space="preserve"> en el entorno científico; </w:t>
      </w:r>
    </w:p>
    <w:p w:rsidR="00D16228" w:rsidRDefault="00D16228" w:rsidP="00574DCF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9A6D1A" w:rsidRDefault="00574DCF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en el mismo sentido la interacción con otros investigadores de la disciplina</w:t>
      </w:r>
      <w:r w:rsidR="00551BCB">
        <w:rPr>
          <w:rFonts w:ascii="Arial" w:hAnsi="Arial"/>
          <w:color w:val="000000"/>
          <w:sz w:val="24"/>
        </w:rPr>
        <w:t xml:space="preserve">, la participación en intercambios discursivos y expositivos vinculados con la producción de artículos científicos también </w:t>
      </w:r>
      <w:r w:rsidR="00FB28A6">
        <w:rPr>
          <w:rFonts w:ascii="Arial" w:hAnsi="Arial"/>
          <w:color w:val="000000"/>
          <w:sz w:val="24"/>
        </w:rPr>
        <w:t>lo prepara para ser parte de dicha comunidad;</w:t>
      </w:r>
    </w:p>
    <w:p w:rsidR="00FB28A6" w:rsidRDefault="00FB28A6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FB28A6" w:rsidRDefault="00FB28A6" w:rsidP="00FB28A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citas que otros </w:t>
      </w:r>
      <w:r w:rsidRPr="00FB28A6">
        <w:rPr>
          <w:rFonts w:ascii="Arial" w:hAnsi="Arial"/>
          <w:color w:val="000000"/>
          <w:sz w:val="24"/>
        </w:rPr>
        <w:t xml:space="preserve">investigadores hacen del trabajo realizado </w:t>
      </w:r>
      <w:r>
        <w:rPr>
          <w:rFonts w:ascii="Arial" w:hAnsi="Arial"/>
          <w:color w:val="000000"/>
          <w:sz w:val="24"/>
        </w:rPr>
        <w:t xml:space="preserve">del cual participan los estudiantes de posgrado es un evidente reconocimiento de la comunidad disciplinaria de la que forman parte; </w:t>
      </w:r>
    </w:p>
    <w:p w:rsidR="00FB28A6" w:rsidRPr="00FB28A6" w:rsidRDefault="00FB28A6" w:rsidP="00FB28A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FB28A6" w:rsidRDefault="00FB28A6" w:rsidP="00FB28A6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FB28A6">
        <w:rPr>
          <w:rFonts w:ascii="Arial" w:hAnsi="Arial"/>
          <w:color w:val="000000"/>
          <w:sz w:val="24"/>
        </w:rPr>
        <w:t xml:space="preserve">Que </w:t>
      </w:r>
      <w:r w:rsidRPr="00FB28A6">
        <w:rPr>
          <w:rFonts w:ascii="Arial" w:hAnsi="Arial"/>
          <w:bCs/>
          <w:iCs/>
          <w:color w:val="000000"/>
          <w:sz w:val="24"/>
        </w:rPr>
        <w:t xml:space="preserve">Comisión Asesora del Programa de Posgrado en Ciencias e Ingeniería de la Computación </w:t>
      </w:r>
      <w:r w:rsidRPr="00FB28A6">
        <w:rPr>
          <w:rFonts w:ascii="Arial" w:hAnsi="Arial"/>
          <w:bCs/>
          <w:color w:val="000000"/>
          <w:sz w:val="24"/>
        </w:rPr>
        <w:t>(CAPPCIC)</w:t>
      </w:r>
      <w:r>
        <w:rPr>
          <w:rFonts w:ascii="Arial" w:hAnsi="Arial"/>
          <w:color w:val="000000"/>
          <w:sz w:val="24"/>
        </w:rPr>
        <w:t xml:space="preserve"> recomendó flexibilizar la obligación de realizar el curso de Metodología de la Investigación en aquellos casos que se den las condiciones descriptas, dejando a criterio del</w:t>
      </w:r>
      <w:r w:rsidR="002C621A">
        <w:rPr>
          <w:rFonts w:ascii="Arial" w:hAnsi="Arial"/>
          <w:color w:val="000000"/>
          <w:sz w:val="24"/>
        </w:rPr>
        <w:t>/los</w:t>
      </w:r>
      <w:r>
        <w:rPr>
          <w:rFonts w:ascii="Arial" w:hAnsi="Arial"/>
          <w:color w:val="000000"/>
          <w:sz w:val="24"/>
        </w:rPr>
        <w:t xml:space="preserve"> Director/es del alumno </w:t>
      </w:r>
      <w:r w:rsidR="002C621A">
        <w:rPr>
          <w:rFonts w:ascii="Arial" w:hAnsi="Arial"/>
          <w:color w:val="000000"/>
          <w:sz w:val="24"/>
        </w:rPr>
        <w:t xml:space="preserve">la indicación de tomarlo; </w:t>
      </w:r>
    </w:p>
    <w:p w:rsidR="00A76BCF" w:rsidRPr="00A76BCF" w:rsidRDefault="00A76BCF" w:rsidP="002C621A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Pr="003F6409" w:rsidRDefault="0014123D" w:rsidP="007C7D8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D10E0D" w:rsidRPr="00D10E0D" w:rsidRDefault="00713546" w:rsidP="00D10E0D">
      <w:pPr>
        <w:ind w:firstLine="1418"/>
        <w:jc w:val="both"/>
        <w:rPr>
          <w:rFonts w:ascii="Arial" w:hAnsi="Arial" w:cs="Arial"/>
          <w:b/>
          <w:color w:val="auto"/>
          <w:sz w:val="24"/>
          <w:lang w:val="es-AR"/>
        </w:rPr>
      </w:pPr>
      <w:r>
        <w:rPr>
          <w:rFonts w:ascii="Arial" w:hAnsi="Arial" w:cs="Arial"/>
          <w:b/>
          <w:color w:val="auto"/>
          <w:sz w:val="24"/>
          <w:lang w:val="es-AR"/>
        </w:rPr>
        <w:t>El Consejo Departamental</w:t>
      </w:r>
      <w:r w:rsidR="00D10E0D" w:rsidRPr="00D10E0D">
        <w:rPr>
          <w:rFonts w:ascii="Arial" w:hAnsi="Arial" w:cs="Arial"/>
          <w:b/>
          <w:color w:val="auto"/>
          <w:sz w:val="24"/>
          <w:lang w:val="es-AR"/>
        </w:rPr>
        <w:t xml:space="preserve"> de Ciencias e Ingeni</w:t>
      </w:r>
      <w:r>
        <w:rPr>
          <w:rFonts w:ascii="Arial" w:hAnsi="Arial" w:cs="Arial"/>
          <w:b/>
          <w:color w:val="auto"/>
          <w:sz w:val="24"/>
          <w:lang w:val="es-AR"/>
        </w:rPr>
        <w:t>ería de la Compu</w:t>
      </w:r>
      <w:r w:rsidR="002C621A">
        <w:rPr>
          <w:rFonts w:ascii="Arial" w:hAnsi="Arial" w:cs="Arial"/>
          <w:b/>
          <w:color w:val="auto"/>
          <w:sz w:val="24"/>
          <w:lang w:val="es-AR"/>
        </w:rPr>
        <w:t>tación en su reunión de fecha 16 de diciembre de 2014</w:t>
      </w:r>
      <w:r w:rsidR="00D10E0D" w:rsidRPr="00D10E0D">
        <w:rPr>
          <w:rFonts w:ascii="Arial" w:hAnsi="Arial" w:cs="Arial"/>
          <w:b/>
          <w:color w:val="auto"/>
          <w:sz w:val="24"/>
          <w:lang w:val="es-AR"/>
        </w:rPr>
        <w:t xml:space="preserve">                        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7C7D86" w:rsidRDefault="0014123D" w:rsidP="007C7D86">
      <w:pPr>
        <w:pStyle w:val="HTMLBody"/>
        <w:jc w:val="both"/>
        <w:rPr>
          <w:color w:val="000000"/>
          <w:sz w:val="24"/>
          <w:lang w:val="es-ES"/>
        </w:rPr>
      </w:pPr>
      <w:r w:rsidRPr="00717760">
        <w:rPr>
          <w:b/>
          <w:color w:val="000000"/>
          <w:sz w:val="24"/>
          <w:lang w:val="es-ES"/>
        </w:rPr>
        <w:t>Art. 1</w:t>
      </w:r>
      <w:r>
        <w:rPr>
          <w:b/>
          <w:color w:val="000000"/>
          <w:sz w:val="24"/>
        </w:rPr>
        <w:sym w:font="Symbol" w:char="F0B0"/>
      </w:r>
      <w:r w:rsidRPr="00717760">
        <w:rPr>
          <w:b/>
          <w:color w:val="000000"/>
          <w:sz w:val="24"/>
          <w:lang w:val="es-ES"/>
        </w:rPr>
        <w:t>)</w:t>
      </w:r>
      <w:r w:rsidR="007C7D86">
        <w:rPr>
          <w:color w:val="000000"/>
          <w:sz w:val="24"/>
          <w:lang w:val="es-ES"/>
        </w:rPr>
        <w:t xml:space="preserve">.- </w:t>
      </w:r>
      <w:r w:rsidR="005E34B3">
        <w:rPr>
          <w:color w:val="000000"/>
          <w:sz w:val="24"/>
          <w:lang w:val="es-ES"/>
        </w:rPr>
        <w:t>Modificar el Artículo</w:t>
      </w:r>
      <w:r w:rsidR="002C621A">
        <w:rPr>
          <w:color w:val="000000"/>
          <w:sz w:val="24"/>
          <w:lang w:val="es-ES"/>
        </w:rPr>
        <w:t xml:space="preserve"> 10</w:t>
      </w:r>
      <w:r w:rsidR="005E34B3">
        <w:rPr>
          <w:color w:val="000000"/>
          <w:sz w:val="24"/>
          <w:lang w:val="es-ES"/>
        </w:rPr>
        <w:t>º) del Anexo de la Resolución</w:t>
      </w:r>
      <w:r w:rsidR="007C7D86" w:rsidRPr="007C7D86">
        <w:rPr>
          <w:color w:val="000000"/>
          <w:sz w:val="24"/>
          <w:lang w:val="es-ES"/>
        </w:rPr>
        <w:t xml:space="preserve"> CDCIC</w:t>
      </w:r>
      <w:r w:rsidR="005E34B3">
        <w:rPr>
          <w:color w:val="000000"/>
          <w:sz w:val="24"/>
          <w:lang w:val="es-ES"/>
        </w:rPr>
        <w:t>-</w:t>
      </w:r>
      <w:r w:rsidR="007C7D86" w:rsidRPr="007C7D86">
        <w:rPr>
          <w:color w:val="000000"/>
          <w:sz w:val="24"/>
          <w:lang w:val="es-ES"/>
        </w:rPr>
        <w:t>223/11, el cual quedará redactado</w:t>
      </w:r>
      <w:r w:rsidR="007C7D86">
        <w:rPr>
          <w:color w:val="000000"/>
          <w:sz w:val="24"/>
          <w:lang w:val="es-ES"/>
        </w:rPr>
        <w:t xml:space="preserve"> de la siguiente manera</w:t>
      </w:r>
      <w:r w:rsidR="007C7D86" w:rsidRPr="007C7D86">
        <w:rPr>
          <w:color w:val="000000"/>
          <w:sz w:val="24"/>
          <w:lang w:val="es-ES"/>
        </w:rPr>
        <w:t>:</w:t>
      </w:r>
    </w:p>
    <w:p w:rsidR="005E34B3" w:rsidRPr="007C7D86" w:rsidRDefault="005E34B3" w:rsidP="007C7D86">
      <w:pPr>
        <w:pStyle w:val="HTMLBody"/>
        <w:jc w:val="both"/>
        <w:rPr>
          <w:color w:val="000000"/>
          <w:sz w:val="24"/>
          <w:lang w:val="es-ES"/>
        </w:rPr>
      </w:pPr>
    </w:p>
    <w:p w:rsidR="002C621A" w:rsidRDefault="005E34B3" w:rsidP="007C7D86">
      <w:pPr>
        <w:pStyle w:val="HTMLBody"/>
        <w:jc w:val="both"/>
        <w:rPr>
          <w:sz w:val="24"/>
          <w:szCs w:val="24"/>
          <w:lang w:val="es-ES"/>
        </w:rPr>
      </w:pPr>
      <w:r>
        <w:rPr>
          <w:b/>
          <w:color w:val="000000"/>
          <w:sz w:val="24"/>
          <w:lang w:val="es-ES"/>
        </w:rPr>
        <w:t>“</w:t>
      </w:r>
      <w:r w:rsidR="002C621A">
        <w:rPr>
          <w:sz w:val="24"/>
          <w:szCs w:val="24"/>
        </w:rPr>
        <w:t>ARTÍCULO 10</w:t>
      </w:r>
      <w:r>
        <w:rPr>
          <w:sz w:val="24"/>
          <w:szCs w:val="24"/>
        </w:rPr>
        <w:t xml:space="preserve">º).- </w:t>
      </w:r>
      <w:r w:rsidR="002C621A" w:rsidRPr="002C621A">
        <w:rPr>
          <w:sz w:val="24"/>
          <w:szCs w:val="24"/>
          <w:lang w:val="es-ES"/>
        </w:rPr>
        <w:t xml:space="preserve">Todo alumno inscripto en una carrera de posgrado cuyo Plan de Estudio sea no estructurado </w:t>
      </w:r>
      <w:r w:rsidR="002C621A">
        <w:rPr>
          <w:sz w:val="24"/>
          <w:szCs w:val="24"/>
          <w:lang w:val="es-ES"/>
        </w:rPr>
        <w:t>podrá optar por</w:t>
      </w:r>
      <w:r w:rsidR="002C621A" w:rsidRPr="002C621A">
        <w:rPr>
          <w:sz w:val="24"/>
          <w:szCs w:val="24"/>
          <w:lang w:val="es-ES"/>
        </w:rPr>
        <w:t xml:space="preserve"> realizar un curso de posgrado relacionado </w:t>
      </w:r>
      <w:r w:rsidR="002C621A" w:rsidRPr="002C621A">
        <w:rPr>
          <w:sz w:val="24"/>
          <w:szCs w:val="24"/>
          <w:lang w:val="es-ES"/>
        </w:rPr>
        <w:lastRenderedPageBreak/>
        <w:t>con Metodología de la Investigación como parte de su plan de cursos</w:t>
      </w:r>
      <w:r w:rsidR="002C621A">
        <w:rPr>
          <w:sz w:val="24"/>
          <w:szCs w:val="24"/>
          <w:lang w:val="es-ES"/>
        </w:rPr>
        <w:t xml:space="preserve">, según la/s indicación/es de su/s Director/es Tesis. </w:t>
      </w:r>
    </w:p>
    <w:p w:rsidR="002C621A" w:rsidRDefault="002C621A" w:rsidP="007C7D86">
      <w:pPr>
        <w:pStyle w:val="HTMLBody"/>
        <w:jc w:val="both"/>
        <w:rPr>
          <w:sz w:val="24"/>
          <w:szCs w:val="24"/>
          <w:lang w:val="es-ES"/>
        </w:rPr>
      </w:pPr>
    </w:p>
    <w:p w:rsidR="005E34B3" w:rsidRPr="005E34B3" w:rsidRDefault="005E34B3" w:rsidP="005E34B3">
      <w:pPr>
        <w:jc w:val="both"/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5E34B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Art 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>2</w:t>
      </w:r>
      <w:r w:rsidRPr="005E34B3">
        <w:rPr>
          <w:rFonts w:ascii="Arial" w:hAnsi="Arial"/>
          <w:b/>
          <w:color w:val="auto"/>
          <w:sz w:val="24"/>
          <w:szCs w:val="24"/>
          <w:lang w:val="es-AR" w:eastAsia="es-ES"/>
        </w:rPr>
        <w:t>º)</w:t>
      </w:r>
      <w:r w:rsidRPr="005E34B3">
        <w:rPr>
          <w:rFonts w:ascii="Arial" w:hAnsi="Arial"/>
          <w:color w:val="auto"/>
          <w:sz w:val="24"/>
          <w:szCs w:val="24"/>
          <w:lang w:val="es-AR" w:eastAsia="es-ES"/>
        </w:rPr>
        <w:t xml:space="preserve">.- </w:t>
      </w:r>
      <w:r w:rsidRPr="005E34B3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Regístrese; comuníquese; pase a la  Secretaría General de Posgrado y Educación Continua de la UNS a los fines que corresponda. </w:t>
      </w:r>
    </w:p>
    <w:p w:rsidR="005E34B3" w:rsidRPr="005E34B3" w:rsidRDefault="005E34B3" w:rsidP="005E34B3">
      <w:pPr>
        <w:jc w:val="both"/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5E34B3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</w:t>
      </w:r>
    </w:p>
    <w:p w:rsidR="0014123D" w:rsidRDefault="007C7D86" w:rsidP="007C7D86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7C7D86">
        <w:rPr>
          <w:color w:val="000000"/>
          <w:sz w:val="24"/>
          <w:lang w:val="es-ES"/>
        </w:rPr>
        <w:t>.</w:t>
      </w:r>
    </w:p>
    <w:sectPr w:rsidR="0014123D" w:rsidSect="00984400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9.15pt;height:9.15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F485C"/>
    <w:multiLevelType w:val="multilevel"/>
    <w:tmpl w:val="D71264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"/>
  </w:num>
  <w:num w:numId="5">
    <w:abstractNumId w:val="19"/>
  </w:num>
  <w:num w:numId="6">
    <w:abstractNumId w:val="14"/>
  </w:num>
  <w:num w:numId="7">
    <w:abstractNumId w:val="3"/>
  </w:num>
  <w:num w:numId="8">
    <w:abstractNumId w:val="5"/>
  </w:num>
  <w:num w:numId="9">
    <w:abstractNumId w:val="4"/>
  </w:num>
  <w:num w:numId="10">
    <w:abstractNumId w:val="18"/>
  </w:num>
  <w:num w:numId="11">
    <w:abstractNumId w:val="16"/>
  </w:num>
  <w:num w:numId="12">
    <w:abstractNumId w:val="0"/>
  </w:num>
  <w:num w:numId="13">
    <w:abstractNumId w:val="6"/>
  </w:num>
  <w:num w:numId="14">
    <w:abstractNumId w:val="10"/>
  </w:num>
  <w:num w:numId="15">
    <w:abstractNumId w:val="15"/>
  </w:num>
  <w:num w:numId="16">
    <w:abstractNumId w:val="17"/>
  </w:num>
  <w:num w:numId="17">
    <w:abstractNumId w:val="1"/>
  </w:num>
  <w:num w:numId="18">
    <w:abstractNumId w:val="7"/>
  </w:num>
  <w:num w:numId="19">
    <w:abstractNumId w:val="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A14C5"/>
    <w:rsid w:val="000C6DF1"/>
    <w:rsid w:val="000D3351"/>
    <w:rsid w:val="000D6DD4"/>
    <w:rsid w:val="0014123D"/>
    <w:rsid w:val="001459AC"/>
    <w:rsid w:val="0015181C"/>
    <w:rsid w:val="001857DC"/>
    <w:rsid w:val="001901DB"/>
    <w:rsid w:val="001C700E"/>
    <w:rsid w:val="001F1E66"/>
    <w:rsid w:val="0020282A"/>
    <w:rsid w:val="002228A8"/>
    <w:rsid w:val="002C621A"/>
    <w:rsid w:val="00344CDC"/>
    <w:rsid w:val="003556AC"/>
    <w:rsid w:val="003C1741"/>
    <w:rsid w:val="003F6409"/>
    <w:rsid w:val="00442607"/>
    <w:rsid w:val="00470FA8"/>
    <w:rsid w:val="00492B08"/>
    <w:rsid w:val="00537275"/>
    <w:rsid w:val="00551BCB"/>
    <w:rsid w:val="00564314"/>
    <w:rsid w:val="00571DFA"/>
    <w:rsid w:val="00574DCF"/>
    <w:rsid w:val="00576E3A"/>
    <w:rsid w:val="0058732F"/>
    <w:rsid w:val="00587390"/>
    <w:rsid w:val="005A1FEA"/>
    <w:rsid w:val="005B5D45"/>
    <w:rsid w:val="005C4164"/>
    <w:rsid w:val="005E24C3"/>
    <w:rsid w:val="005E34B3"/>
    <w:rsid w:val="005E5544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6F29C1"/>
    <w:rsid w:val="00713546"/>
    <w:rsid w:val="00717760"/>
    <w:rsid w:val="00734F37"/>
    <w:rsid w:val="00772346"/>
    <w:rsid w:val="00782ACF"/>
    <w:rsid w:val="007C142D"/>
    <w:rsid w:val="007C7D86"/>
    <w:rsid w:val="007D10AC"/>
    <w:rsid w:val="008724F8"/>
    <w:rsid w:val="008A4C2F"/>
    <w:rsid w:val="008A7CE2"/>
    <w:rsid w:val="008E1D23"/>
    <w:rsid w:val="00901DB6"/>
    <w:rsid w:val="0090380F"/>
    <w:rsid w:val="00903C18"/>
    <w:rsid w:val="00904928"/>
    <w:rsid w:val="00916972"/>
    <w:rsid w:val="00957F6C"/>
    <w:rsid w:val="00974AE2"/>
    <w:rsid w:val="00984400"/>
    <w:rsid w:val="00987297"/>
    <w:rsid w:val="00990D60"/>
    <w:rsid w:val="009A541F"/>
    <w:rsid w:val="009A6D1A"/>
    <w:rsid w:val="009C3CDB"/>
    <w:rsid w:val="009D7BC8"/>
    <w:rsid w:val="00A003F0"/>
    <w:rsid w:val="00A12D9E"/>
    <w:rsid w:val="00A33546"/>
    <w:rsid w:val="00A3364D"/>
    <w:rsid w:val="00A47978"/>
    <w:rsid w:val="00A6760B"/>
    <w:rsid w:val="00A76BCF"/>
    <w:rsid w:val="00B21734"/>
    <w:rsid w:val="00B518D8"/>
    <w:rsid w:val="00B86209"/>
    <w:rsid w:val="00B862D9"/>
    <w:rsid w:val="00B86DC3"/>
    <w:rsid w:val="00B958E5"/>
    <w:rsid w:val="00BC3A5F"/>
    <w:rsid w:val="00BD722D"/>
    <w:rsid w:val="00C30F94"/>
    <w:rsid w:val="00C47263"/>
    <w:rsid w:val="00C624C2"/>
    <w:rsid w:val="00C63F7F"/>
    <w:rsid w:val="00CB77D0"/>
    <w:rsid w:val="00D10E0D"/>
    <w:rsid w:val="00D16228"/>
    <w:rsid w:val="00D3152A"/>
    <w:rsid w:val="00D8723D"/>
    <w:rsid w:val="00DA7A31"/>
    <w:rsid w:val="00DA7AA6"/>
    <w:rsid w:val="00DB279A"/>
    <w:rsid w:val="00DC40B9"/>
    <w:rsid w:val="00E057E3"/>
    <w:rsid w:val="00E70D6C"/>
    <w:rsid w:val="00E9175B"/>
    <w:rsid w:val="00EA58BA"/>
    <w:rsid w:val="00EC0596"/>
    <w:rsid w:val="00ED6AEC"/>
    <w:rsid w:val="00EE56C9"/>
    <w:rsid w:val="00EF3714"/>
    <w:rsid w:val="00F42FCD"/>
    <w:rsid w:val="00F554D8"/>
    <w:rsid w:val="00F82106"/>
    <w:rsid w:val="00FA26FE"/>
    <w:rsid w:val="00FB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4693-E5E0-422B-B154-6AF701A4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2014-03-17T14:48:00Z</cp:lastPrinted>
  <dcterms:created xsi:type="dcterms:W3CDTF">2025-07-06T18:00:00Z</dcterms:created>
  <dcterms:modified xsi:type="dcterms:W3CDTF">2025-07-06T18:00:00Z</dcterms:modified>
</cp:coreProperties>
</file>