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 w:rsidRPr="00A158E0">
        <w:rPr>
          <w:lang w:val="es-AR"/>
        </w:rPr>
        <w:t>C</w:t>
      </w:r>
      <w:r w:rsidR="00792B0C" w:rsidRPr="00A158E0">
        <w:rPr>
          <w:lang w:val="es-AR"/>
        </w:rPr>
        <w:t>DCIC-</w:t>
      </w:r>
      <w:r w:rsidR="00854658" w:rsidRPr="00A158E0">
        <w:rPr>
          <w:lang w:val="es-AR"/>
        </w:rPr>
        <w:t>0</w:t>
      </w:r>
      <w:r w:rsidR="00A158E0" w:rsidRPr="00A158E0">
        <w:rPr>
          <w:lang w:val="es-AR"/>
        </w:rPr>
        <w:t>23</w:t>
      </w:r>
      <w:r w:rsidR="005F1B0E" w:rsidRPr="00A158E0">
        <w:rPr>
          <w:lang w:val="es-AR"/>
        </w:rPr>
        <w:t>/</w:t>
      </w:r>
      <w:r w:rsidR="001F4952" w:rsidRPr="00A158E0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F11B4" w:rsidRPr="00AF11B4" w:rsidRDefault="00AF11B4" w:rsidP="00AF11B4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proofErr w:type="gramStart"/>
      <w:r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VISTO :</w:t>
      </w:r>
      <w:proofErr w:type="gramEnd"/>
    </w:p>
    <w:p w:rsidR="00AF11B4" w:rsidRPr="00AF11B4" w:rsidRDefault="00AF11B4" w:rsidP="00AF11B4">
      <w:pPr>
        <w:autoSpaceDE w:val="0"/>
        <w:autoSpaceDN w:val="0"/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AF11B4" w:rsidRPr="00AF11B4" w:rsidRDefault="00AF11B4" w:rsidP="00AF11B4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F1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Resolución Nº 197/2011 mediante la cual la Agencia Nacional de Promoción Científica  Tecnológica a través del FONCYT convocó a las Instituciones Universitarias de la gestión pública radicadas en el país a la presentación de propuestas para la adjudicación de cupos de becas a estudiantes para la finalización de estudios de grado relacionadas con el sector </w:t>
      </w:r>
      <w:proofErr w:type="spellStart"/>
      <w:r w:rsidRPr="00AF1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TICs</w:t>
      </w:r>
      <w:proofErr w:type="spellEnd"/>
      <w:r w:rsidRPr="00AF1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2011; y</w:t>
      </w:r>
    </w:p>
    <w:p w:rsidR="00AF11B4" w:rsidRPr="00AF11B4" w:rsidRDefault="00AF11B4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AF11B4">
        <w:rPr>
          <w:rFonts w:ascii="Arial" w:hAnsi="Arial" w:cs="Arial"/>
          <w:snapToGrid/>
          <w:sz w:val="24"/>
          <w:szCs w:val="24"/>
          <w:lang w:val="es-ES_tradnl" w:eastAsia="en-US"/>
        </w:rPr>
        <w:t> </w:t>
      </w:r>
    </w:p>
    <w:p w:rsidR="00AF11B4" w:rsidRPr="00AF11B4" w:rsidRDefault="00AF11B4" w:rsidP="00AF11B4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CONSIDERANDO :</w:t>
      </w:r>
    </w:p>
    <w:p w:rsidR="00AF11B4" w:rsidRPr="00AF11B4" w:rsidRDefault="00AF11B4" w:rsidP="00AF11B4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la Universidad Nacional del Sur participó de la misma mediante la presentación de un Proyecto elaborado conjuntamente por los </w:t>
      </w: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>Departamentos de Ingeniería Eléctrica y de Computadoras y Ciencias e Ingeniería de la Computación considerando que la convocatoria se refiere a alumnos de las carreras Ingeniería en Electrónica, Licenciatura en Ciencias de la Computación e Ingeniería en Sistemas de Computación</w:t>
      </w:r>
      <w:r w:rsidRPr="00AF11B4">
        <w:rPr>
          <w:rFonts w:ascii="Arial" w:hAnsi="Arial" w:cs="Arial"/>
          <w:snapToGrid/>
          <w:sz w:val="24"/>
          <w:szCs w:val="24"/>
          <w:lang w:val="es-AR" w:eastAsia="en-US"/>
        </w:rPr>
        <w:t xml:space="preserve">; </w:t>
      </w:r>
    </w:p>
    <w:p w:rsidR="00AF11B4" w:rsidRPr="00AF11B4" w:rsidRDefault="00AF11B4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AF11B4" w:rsidRPr="00AF11B4" w:rsidRDefault="00AF11B4" w:rsidP="00AF11B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mediante la Resolución </w:t>
      </w:r>
      <w:proofErr w:type="spellStart"/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>ANPCyT</w:t>
      </w:r>
      <w:proofErr w:type="spellEnd"/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 Nº 224/12 de la Agencia Nacional de Promoción Científica y Tecnológica se adjudicaron los subsidios para el financiamiento de los Programas y cupos de Becas delegando en los mencionados Departamentos la selección de los alumnos que se inscriban para acceder a la beca y el seguimiento del desempeño académico y del cumplimiento del Plan de Trabajo de cada uno de los alumnos becarios; </w:t>
      </w:r>
    </w:p>
    <w:p w:rsidR="00AF11B4" w:rsidRPr="00AF11B4" w:rsidRDefault="00AF11B4" w:rsidP="00AF11B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ab/>
      </w:r>
    </w:p>
    <w:p w:rsidR="00AF11B4" w:rsidRPr="00AF11B4" w:rsidRDefault="00AF11B4" w:rsidP="00AF11B4">
      <w:pPr>
        <w:ind w:firstLine="70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por Resolución CDCIC-078/12, el Consejo Departamental de Ciencias e Ingeniería de la Computación estableció las funciones que deben cumplir los Tutores de los </w:t>
      </w:r>
      <w:r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alumnos de esta Unidad Académica, beneficiarios de estas becas; </w:t>
      </w:r>
    </w:p>
    <w:p w:rsidR="00AF11B4" w:rsidRPr="00AF11B4" w:rsidRDefault="00AF11B4" w:rsidP="00AF11B4">
      <w:pPr>
        <w:ind w:firstLine="70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AF11B4" w:rsidRPr="00AF11B4" w:rsidRDefault="00A82F86" w:rsidP="00AF11B4">
      <w:pPr>
        <w:ind w:firstLine="70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>El informe elevado por los Tutores en relación al</w:t>
      </w:r>
      <w:r w:rsidR="00AF11B4"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cumplimiento</w:t>
      </w:r>
      <w:r w:rsid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y finalización</w:t>
      </w:r>
      <w:r w:rsidR="00AF11B4"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de las actividades previstas en los Planes de Trabajo de cada uno de sus becarios; </w:t>
      </w:r>
    </w:p>
    <w:p w:rsidR="00AF11B4" w:rsidRPr="00AF11B4" w:rsidRDefault="00AF11B4" w:rsidP="00AF11B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AF11B4" w:rsidRPr="00AF11B4" w:rsidRDefault="00AF11B4" w:rsidP="00AF11B4">
      <w:pPr>
        <w:ind w:firstLine="709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de acuerdo a lo solicitado, esta información corresponde elevar esta información a la Agencia </w:t>
      </w:r>
      <w:r w:rsidRPr="00AF1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Agencia Nacional de Promoción Científica Tecnológica a fin de </w:t>
      </w:r>
      <w:r w:rsidR="00720136">
        <w:rPr>
          <w:rFonts w:ascii="Arial" w:hAnsi="Arial" w:cs="Arial"/>
          <w:bCs/>
          <w:snapToGrid/>
          <w:sz w:val="24"/>
          <w:szCs w:val="24"/>
          <w:lang w:val="es-AR" w:eastAsia="en-US"/>
        </w:rPr>
        <w:t>proceder al pago del último</w:t>
      </w:r>
      <w:r w:rsidRPr="00AF11B4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 desembolso </w:t>
      </w:r>
      <w:r w:rsidR="00720136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correspondiente al </w:t>
      </w:r>
      <w:r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año 2013 </w:t>
      </w:r>
      <w:r w:rsidR="00720136">
        <w:rPr>
          <w:rFonts w:ascii="Arial" w:hAnsi="Arial" w:cs="Arial"/>
          <w:bCs/>
          <w:snapToGrid/>
          <w:sz w:val="24"/>
          <w:szCs w:val="24"/>
          <w:lang w:val="es-AR" w:eastAsia="en-US"/>
        </w:rPr>
        <w:t>del</w:t>
      </w:r>
      <w:r w:rsidRPr="00AF11B4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 Proyecto Becas Tics 2011</w:t>
      </w: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>;</w:t>
      </w:r>
    </w:p>
    <w:p w:rsidR="00AF11B4" w:rsidRPr="00AF11B4" w:rsidRDefault="00AF11B4" w:rsidP="00AF11B4">
      <w:pPr>
        <w:ind w:firstLine="709"/>
        <w:rPr>
          <w:snapToGrid/>
          <w:sz w:val="24"/>
          <w:szCs w:val="24"/>
          <w:lang w:val="es-AR" w:eastAsia="es-AR"/>
        </w:rPr>
      </w:pP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POR ELLO:</w:t>
      </w: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</w:r>
    </w:p>
    <w:p w:rsidR="00AF11B4" w:rsidRPr="00AF11B4" w:rsidRDefault="00AF11B4" w:rsidP="00AF11B4">
      <w:pPr>
        <w:autoSpaceDE w:val="0"/>
        <w:autoSpaceDN w:val="0"/>
        <w:rPr>
          <w:rFonts w:ascii="Arial" w:hAnsi="Arial" w:cs="Arial"/>
          <w:snapToGrid/>
          <w:sz w:val="24"/>
          <w:szCs w:val="24"/>
          <w:lang w:val="es-E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  <w:t xml:space="preserve">El Consejo Departamental de Ciencias e Ingeniería de la Computación en su reunión de fecha </w:t>
      </w:r>
      <w:r w:rsidR="00A158E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24 de febrero de 2015 por unanimidad</w:t>
      </w: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R E S U E L V E :</w:t>
      </w:r>
    </w:p>
    <w:p w:rsidR="00AF11B4" w:rsidRPr="00AF11B4" w:rsidRDefault="00AF11B4" w:rsidP="00AF11B4">
      <w:pPr>
        <w:tabs>
          <w:tab w:val="left" w:pos="993"/>
        </w:tabs>
        <w:autoSpaceDE w:val="0"/>
        <w:autoSpaceDN w:val="0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Art. 1</w:t>
      </w:r>
      <w:r w:rsidRPr="00AF11B4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).- </w:t>
      </w:r>
      <w:r w:rsidRPr="00AF11B4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Elevar a la Agencia Nacional de Promoción Científica Tecnológica la nómina de alumnos beneficiarios de Becas Tics 2011 que han cumplido </w:t>
      </w:r>
      <w:r w:rsidR="00720136">
        <w:rPr>
          <w:rFonts w:ascii="Arial" w:hAnsi="Arial" w:cs="Arial"/>
          <w:bCs/>
          <w:snapToGrid/>
          <w:sz w:val="24"/>
          <w:szCs w:val="24"/>
          <w:lang w:val="es-ES" w:eastAsia="en-US"/>
        </w:rPr>
        <w:t>con la totalidad d</w:t>
      </w:r>
      <w:r w:rsidRPr="00AF11B4">
        <w:rPr>
          <w:rFonts w:ascii="Arial" w:hAnsi="Arial" w:cs="Arial"/>
          <w:bCs/>
          <w:snapToGrid/>
          <w:sz w:val="24"/>
          <w:szCs w:val="24"/>
          <w:lang w:val="es-ES" w:eastAsia="en-US"/>
        </w:rPr>
        <w:t>el cronograma de actividades previstas en su Plan de Trabajo, que se adjunta en el Anexo de la presente resolución-</w:t>
      </w:r>
    </w:p>
    <w:p w:rsidR="00AF11B4" w:rsidRPr="00AF11B4" w:rsidRDefault="00AF11B4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C622D2" w:rsidRDefault="00C622D2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C622D2" w:rsidRDefault="00720136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lastRenderedPageBreak/>
        <w:t>///CDCIC-0</w:t>
      </w:r>
      <w:r w:rsidR="00A158E0">
        <w:rPr>
          <w:rFonts w:ascii="Arial" w:hAnsi="Arial" w:cs="Arial"/>
          <w:b/>
          <w:snapToGrid/>
          <w:sz w:val="24"/>
          <w:szCs w:val="24"/>
          <w:lang w:val="es-AR" w:eastAsia="en-US"/>
        </w:rPr>
        <w:t>23/15</w:t>
      </w:r>
    </w:p>
    <w:p w:rsidR="00A82F86" w:rsidRDefault="00A82F86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tbl>
      <w:tblPr>
        <w:tblW w:w="8282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283"/>
        <w:gridCol w:w="2100"/>
        <w:gridCol w:w="1866"/>
        <w:gridCol w:w="1033"/>
      </w:tblGrid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Carrera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Apellido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DNI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Cecilia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Baggio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32978464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Nicolás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Komañski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34377306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Renata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Lucione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34629973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Sebastián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Urbina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34291557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Simón Teodoro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Arias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35168640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Sistemas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Andrés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Biondi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 w:eastAsia="es-AR"/>
              </w:rPr>
              <w:t>34263</w:t>
            </w:r>
            <w:r w:rsidRPr="00A82F86">
              <w:rPr>
                <w:rFonts w:ascii="Calibri" w:hAnsi="Calibri" w:cs="Calibri"/>
                <w:color w:val="000000"/>
                <w:sz w:val="22"/>
                <w:szCs w:val="22"/>
                <w:lang w:val="es-ES_tradnl" w:eastAsia="es-AR"/>
              </w:rPr>
              <w:t>227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Javier Alejandro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Goñi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34652056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Carolina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Yae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Iungelson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Wolloch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32253304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Ignacio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Larregui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34005875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 Javier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Loos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31817801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Enzo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Pecorari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34765562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Daniel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Streitenberger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32234757</w:t>
            </w:r>
          </w:p>
        </w:tc>
      </w:tr>
      <w:tr w:rsidR="00A82F86" w:rsidRPr="00A7400A" w:rsidTr="00A82F86">
        <w:trPr>
          <w:trHeight w:val="300"/>
          <w:jc w:val="center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Ing. en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</w:t>
            </w:r>
            <w:proofErr w:type="spellEnd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Gonzalo </w:t>
            </w:r>
            <w:proofErr w:type="spellStart"/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Darian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Weber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2F86" w:rsidRPr="00A7400A" w:rsidRDefault="00A82F86" w:rsidP="00A60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32213937</w:t>
            </w:r>
          </w:p>
        </w:tc>
      </w:tr>
    </w:tbl>
    <w:p w:rsidR="00A82F86" w:rsidRDefault="00A82F86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C622D2" w:rsidRDefault="00C622D2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FC334C" w:rsidRPr="00FC334C" w:rsidRDefault="00FC334C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Art. 2º</w:t>
      </w:r>
      <w:r w:rsidRPr="00FC334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FC334C">
        <w:rPr>
          <w:rFonts w:ascii="Arial" w:hAnsi="Arial" w:cs="Arial"/>
          <w:snapToGrid/>
          <w:sz w:val="24"/>
          <w:szCs w:val="24"/>
          <w:lang w:val="es-AR" w:eastAsia="en-US"/>
        </w:rPr>
        <w:t>. -</w:t>
      </w: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 </w:t>
      </w:r>
      <w:r w:rsidR="0074538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Avalar el pago </w:t>
      </w:r>
      <w:r w:rsidR="00745383"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>del último desembolso correspondiente al año 2013 del programa Becas Tics 2011</w:t>
      </w:r>
      <w:r w:rsidR="0074538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</w:t>
      </w:r>
      <w:r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los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alumnos que figuran en el Art.</w:t>
      </w:r>
      <w:r w:rsidR="00522BA4">
        <w:rPr>
          <w:rFonts w:ascii="Arial" w:hAnsi="Arial" w:cs="Arial"/>
          <w:snapToGrid/>
          <w:sz w:val="24"/>
          <w:szCs w:val="24"/>
          <w:lang w:val="es-ES_tradnl" w:eastAsia="en-US"/>
        </w:rPr>
        <w:t>1º de la presente resolución.</w:t>
      </w:r>
      <w:r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-</w:t>
      </w:r>
    </w:p>
    <w:p w:rsidR="00F77453" w:rsidRDefault="00F77453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AF11B4" w:rsidRPr="00AF11B4" w:rsidRDefault="00FC334C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Art. 3</w:t>
      </w:r>
      <w:r w:rsidR="00AF11B4"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º)</w:t>
      </w:r>
      <w:r w:rsidR="00AF11B4" w:rsidRPr="00AF11B4">
        <w:rPr>
          <w:rFonts w:ascii="Arial" w:hAnsi="Arial" w:cs="Arial"/>
          <w:snapToGrid/>
          <w:sz w:val="24"/>
          <w:szCs w:val="24"/>
          <w:lang w:val="es-AR" w:eastAsia="en-US"/>
        </w:rPr>
        <w:t>.-</w:t>
      </w:r>
      <w:r w:rsidR="00AF11B4"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  <w:r w:rsidR="00AF11B4" w:rsidRPr="00AF11B4">
        <w:rPr>
          <w:rFonts w:ascii="Arial" w:hAnsi="Arial" w:cs="Arial"/>
          <w:snapToGrid/>
          <w:sz w:val="24"/>
          <w:szCs w:val="24"/>
          <w:lang w:val="es-ES_tradnl" w:eastAsia="en-US"/>
        </w:rPr>
        <w:t>Regístrese; comuníquese; pase a la Secretaría General Académica a los fines que correspondan; tome conocimiento la Secretaría General de Bienestar Estudiantil Universitario; cumplido, archívese.----------------------------------------------------------------------</w:t>
      </w:r>
    </w:p>
    <w:p w:rsidR="00AF11B4" w:rsidRPr="00AF11B4" w:rsidRDefault="00AF11B4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60EC6">
      <w:pPr>
        <w:autoSpaceDE w:val="0"/>
        <w:autoSpaceDN w:val="0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5F1B0E" w:rsidRDefault="005F1B0E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1F4952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22BA4"/>
    <w:rsid w:val="0055010D"/>
    <w:rsid w:val="0056001E"/>
    <w:rsid w:val="00580A76"/>
    <w:rsid w:val="005F1B0E"/>
    <w:rsid w:val="00652C10"/>
    <w:rsid w:val="00720136"/>
    <w:rsid w:val="00745383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158E0"/>
    <w:rsid w:val="00A47E93"/>
    <w:rsid w:val="00A55971"/>
    <w:rsid w:val="00A60EC6"/>
    <w:rsid w:val="00A66FBE"/>
    <w:rsid w:val="00A82F86"/>
    <w:rsid w:val="00AA26EA"/>
    <w:rsid w:val="00AF11B4"/>
    <w:rsid w:val="00AF71E7"/>
    <w:rsid w:val="00B66C7B"/>
    <w:rsid w:val="00B702F4"/>
    <w:rsid w:val="00BA2052"/>
    <w:rsid w:val="00BD39F5"/>
    <w:rsid w:val="00BE3110"/>
    <w:rsid w:val="00C02C9E"/>
    <w:rsid w:val="00C622D2"/>
    <w:rsid w:val="00CE1537"/>
    <w:rsid w:val="00D605ED"/>
    <w:rsid w:val="00D8788B"/>
    <w:rsid w:val="00DB066B"/>
    <w:rsid w:val="00E110C2"/>
    <w:rsid w:val="00EA730E"/>
    <w:rsid w:val="00EC20E2"/>
    <w:rsid w:val="00F110F0"/>
    <w:rsid w:val="00F6428F"/>
    <w:rsid w:val="00F77453"/>
    <w:rsid w:val="00FA334D"/>
    <w:rsid w:val="00FA34AA"/>
    <w:rsid w:val="00FC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2015-04-06T17:55:00Z</cp:lastPrinted>
  <dcterms:created xsi:type="dcterms:W3CDTF">2025-07-06T18:02:00Z</dcterms:created>
  <dcterms:modified xsi:type="dcterms:W3CDTF">2025-07-06T18:02:00Z</dcterms:modified>
</cp:coreProperties>
</file>