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877A72">
        <w:rPr>
          <w:rFonts w:ascii="Arial" w:hAnsi="Arial" w:cs="Arial"/>
          <w:b/>
          <w:sz w:val="24"/>
          <w:lang w:val="es-AR"/>
        </w:rPr>
        <w:t>069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620FC7" w:rsidRDefault="00620FC7" w:rsidP="00620FC7">
      <w:pPr>
        <w:jc w:val="both"/>
        <w:rPr>
          <w:rFonts w:ascii="Arial" w:hAnsi="Arial"/>
          <w:sz w:val="24"/>
          <w:lang w:val="es-ES_tradnl"/>
        </w:rPr>
      </w:pPr>
    </w:p>
    <w:p w:rsidR="004D666C" w:rsidRPr="004D666C" w:rsidRDefault="004D666C" w:rsidP="004D666C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4D666C">
        <w:rPr>
          <w:rFonts w:ascii="Arial" w:hAnsi="Arial" w:cs="Arial"/>
          <w:sz w:val="24"/>
          <w:lang w:val="es-AR" w:eastAsia="en-US"/>
        </w:rPr>
        <w:t xml:space="preserve">El </w:t>
      </w:r>
      <w:r w:rsidRPr="004D666C">
        <w:rPr>
          <w:rFonts w:ascii="Arial" w:hAnsi="Arial" w:cs="Arial"/>
          <w:color w:val="000000"/>
          <w:sz w:val="24"/>
          <w:szCs w:val="24"/>
          <w:lang w:eastAsia="en-U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620FC7" w:rsidRDefault="00620FC7" w:rsidP="00620FC7">
      <w:pPr>
        <w:jc w:val="both"/>
        <w:rPr>
          <w:rFonts w:ascii="Arial" w:hAnsi="Arial" w:cs="Arial"/>
          <w:sz w:val="24"/>
        </w:rPr>
      </w:pPr>
    </w:p>
    <w:p w:rsidR="00620FC7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D15F1C">
        <w:rPr>
          <w:rFonts w:ascii="Arial" w:hAnsi="Arial" w:cs="Arial"/>
          <w:color w:val="000000"/>
          <w:sz w:val="24"/>
          <w:szCs w:val="24"/>
        </w:rPr>
        <w:t xml:space="preserve">La Resolución CSU 720/12 </w:t>
      </w:r>
      <w:r>
        <w:rPr>
          <w:rFonts w:ascii="Arial" w:hAnsi="Arial" w:cs="Arial"/>
          <w:color w:val="000000"/>
          <w:sz w:val="24"/>
          <w:szCs w:val="24"/>
        </w:rPr>
        <w:t xml:space="preserve">por la cual se </w:t>
      </w:r>
      <w:r w:rsidRPr="00D15F1C">
        <w:rPr>
          <w:rFonts w:ascii="Arial" w:hAnsi="Arial" w:cs="Arial"/>
          <w:color w:val="000000"/>
          <w:sz w:val="24"/>
          <w:szCs w:val="24"/>
        </w:rPr>
        <w:t>establece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Pr="00D15F1C">
        <w:rPr>
          <w:rFonts w:ascii="Arial" w:hAnsi="Arial" w:cs="Arial"/>
          <w:color w:val="000000"/>
          <w:sz w:val="24"/>
          <w:szCs w:val="24"/>
        </w:rPr>
        <w:t xml:space="preserve"> las pautas </w:t>
      </w:r>
      <w:r>
        <w:rPr>
          <w:rFonts w:ascii="Arial" w:hAnsi="Arial" w:cs="Arial"/>
          <w:color w:val="000000"/>
          <w:sz w:val="24"/>
          <w:szCs w:val="24"/>
        </w:rPr>
        <w:t>para el Sistema de Tutorías de la Universidad Nacional del Sur; y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620FC7" w:rsidRDefault="00620FC7" w:rsidP="00620FC7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>
        <w:rPr>
          <w:rFonts w:ascii="Arial" w:hAnsi="Arial" w:cs="Arial"/>
          <w:sz w:val="24"/>
          <w:lang w:val="es-AR"/>
        </w:rPr>
        <w:t>el</w:t>
      </w:r>
      <w:r w:rsidRPr="00286CEF">
        <w:rPr>
          <w:rFonts w:ascii="Arial" w:hAnsi="Arial" w:cs="Arial"/>
          <w:sz w:val="24"/>
          <w:lang w:val="es-AR"/>
        </w:rPr>
        <w:t xml:space="preserve"> objetivo específico </w:t>
      </w:r>
      <w:r>
        <w:rPr>
          <w:rFonts w:ascii="Arial" w:hAnsi="Arial" w:cs="Arial"/>
          <w:sz w:val="24"/>
          <w:lang w:val="es-AR"/>
        </w:rPr>
        <w:t>del PROMINF</w:t>
      </w:r>
      <w:r w:rsidRPr="00286CEF">
        <w:rPr>
          <w:rFonts w:ascii="Arial" w:hAnsi="Arial" w:cs="Arial"/>
          <w:sz w:val="24"/>
          <w:lang w:val="es-AR"/>
        </w:rPr>
        <w:t xml:space="preserve"> es </w:t>
      </w:r>
      <w:r>
        <w:rPr>
          <w:rFonts w:ascii="Arial" w:hAnsi="Arial" w:cs="Arial"/>
          <w:sz w:val="24"/>
          <w:lang w:val="es-AR"/>
        </w:rPr>
        <w:t xml:space="preserve">la mejora de la retención y graduación y aseguramiento de la calidad de formación; </w:t>
      </w:r>
    </w:p>
    <w:p w:rsidR="00620FC7" w:rsidRDefault="00620FC7" w:rsidP="00620FC7">
      <w:pPr>
        <w:ind w:firstLine="720"/>
        <w:jc w:val="both"/>
        <w:rPr>
          <w:rFonts w:ascii="Calibri" w:hAnsi="Calibri" w:cs="Arial"/>
          <w:color w:val="222222"/>
          <w:sz w:val="22"/>
          <w:szCs w:val="22"/>
        </w:rPr>
      </w:pPr>
    </w:p>
    <w:p w:rsidR="00620FC7" w:rsidRPr="00F20F26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el mismo </w:t>
      </w:r>
      <w:proofErr w:type="spellStart"/>
      <w:r w:rsidRPr="00F20F26">
        <w:rPr>
          <w:rFonts w:ascii="Arial" w:hAnsi="Arial" w:cs="Arial"/>
          <w:sz w:val="24"/>
          <w:lang w:val="es-ES_tradnl"/>
        </w:rPr>
        <w:t>prevee</w:t>
      </w:r>
      <w:proofErr w:type="spellEnd"/>
      <w:r w:rsidRPr="00F20F26">
        <w:rPr>
          <w:rFonts w:ascii="Arial" w:hAnsi="Arial" w:cs="Arial"/>
          <w:sz w:val="24"/>
          <w:lang w:val="es-ES_tradnl"/>
        </w:rPr>
        <w:t xml:space="preserve"> la p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uesta en marcha y financiación de proyectos de tutorías y/o apoyo pedagógico que contemplen actividades que tiendan a contener y favorecer la integración del alumno a la vida universitaria, el desarrollo y finalización de sus estudios; </w:t>
      </w:r>
    </w:p>
    <w:p w:rsidR="00620FC7" w:rsidRPr="00F20F26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20FC7" w:rsidRPr="00F20F26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dentro del monto asignado para tal fin se contemplan fondos para el pago a tutores; </w:t>
      </w:r>
    </w:p>
    <w:p w:rsidR="00620FC7" w:rsidRPr="00F20F26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20FC7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se realizó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un llamado a inscripción de interesados en cumplir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el rol de tutor</w:t>
      </w:r>
      <w:r w:rsidR="009C2D75">
        <w:rPr>
          <w:rFonts w:ascii="Arial" w:hAnsi="Arial" w:cs="Arial"/>
          <w:color w:val="000000"/>
          <w:sz w:val="24"/>
          <w:szCs w:val="24"/>
          <w:lang w:val="es-ES_tradnl"/>
        </w:rPr>
        <w:t xml:space="preserve"> graduado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620FC7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20FC7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E0009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>
        <w:rPr>
          <w:rFonts w:ascii="Arial" w:hAnsi="Arial" w:cs="Arial"/>
          <w:sz w:val="24"/>
          <w:szCs w:val="24"/>
          <w:lang w:val="es-AR"/>
        </w:rPr>
        <w:t>dicho</w:t>
      </w:r>
      <w:r w:rsidRPr="00FE0009">
        <w:rPr>
          <w:rFonts w:ascii="Arial" w:hAnsi="Arial" w:cs="Arial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sz w:val="24"/>
          <w:szCs w:val="24"/>
          <w:lang w:val="es-AR"/>
        </w:rPr>
        <w:t>elaboró un orden de méritos entre los aspirantes</w:t>
      </w:r>
      <w:r w:rsidR="009C2D75">
        <w:rPr>
          <w:rFonts w:ascii="Arial" w:hAnsi="Arial" w:cs="Arial"/>
          <w:sz w:val="24"/>
          <w:szCs w:val="24"/>
          <w:lang w:val="es-AR"/>
        </w:rPr>
        <w:t xml:space="preserve"> al cargo</w:t>
      </w:r>
      <w:r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620FC7" w:rsidRDefault="00620FC7" w:rsidP="00620FC7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620FC7" w:rsidRPr="00524BB9" w:rsidRDefault="00620FC7" w:rsidP="00620FC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D50BD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los tutores </w:t>
      </w:r>
      <w:r w:rsidRPr="007D50BD">
        <w:rPr>
          <w:rFonts w:ascii="Arial" w:hAnsi="Arial" w:cs="Arial"/>
          <w:sz w:val="24"/>
          <w:szCs w:val="24"/>
          <w:lang w:val="es-ES_tradnl"/>
        </w:rPr>
        <w:t xml:space="preserve">graduados, </w:t>
      </w:r>
      <w:r>
        <w:rPr>
          <w:rFonts w:ascii="Arial" w:hAnsi="Arial" w:cs="Arial"/>
          <w:sz w:val="24"/>
          <w:szCs w:val="24"/>
          <w:lang w:val="es-ES_tradnl"/>
        </w:rPr>
        <w:t xml:space="preserve">además de las tareas inherentes a su rol, deberán realizar 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visitas a escuelas secundarias comunes, técnicas y de orientación vocacional de </w:t>
      </w:r>
    </w:p>
    <w:p w:rsidR="004E794D" w:rsidRPr="00620FC7" w:rsidRDefault="00620FC7" w:rsidP="00620FC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7D50BD">
        <w:rPr>
          <w:rFonts w:ascii="Arial" w:hAnsi="Arial" w:cs="Arial"/>
          <w:color w:val="000000"/>
          <w:sz w:val="24"/>
          <w:lang w:val="es-ES_tradnl"/>
        </w:rPr>
        <w:t>Bahía Blanca y la zona con el objeto de difundir las carreras que la Universidad Nacional del Sur ofrece en la actualidad y el mecanismo de ingreso a la misma</w:t>
      </w:r>
      <w:r>
        <w:rPr>
          <w:rFonts w:ascii="Arial" w:hAnsi="Arial" w:cs="Arial"/>
          <w:color w:val="000000"/>
          <w:sz w:val="24"/>
          <w:lang w:val="es-ES_tradnl"/>
        </w:rPr>
        <w:t xml:space="preserve"> y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 </w:t>
      </w:r>
      <w:r>
        <w:rPr>
          <w:rFonts w:ascii="Arial" w:hAnsi="Arial" w:cs="Arial"/>
          <w:color w:val="000000"/>
          <w:sz w:val="24"/>
          <w:lang w:val="es-ES_tradnl"/>
        </w:rPr>
        <w:t xml:space="preserve">participar </w:t>
      </w:r>
      <w:r w:rsidRPr="007D50BD">
        <w:rPr>
          <w:rFonts w:ascii="Arial" w:hAnsi="Arial" w:cs="Arial"/>
          <w:color w:val="000000"/>
          <w:sz w:val="24"/>
          <w:lang w:val="es-ES_tradnl"/>
        </w:rPr>
        <w:t>en la organización de la Muestra Informática de Carreras de</w:t>
      </w:r>
      <w:r>
        <w:rPr>
          <w:rFonts w:ascii="Arial" w:hAnsi="Arial" w:cs="Arial"/>
          <w:color w:val="000000"/>
          <w:sz w:val="24"/>
          <w:lang w:val="es-ES_tradnl"/>
        </w:rPr>
        <w:t xml:space="preserve"> Nivel Superior de Bahía Blanca; 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877A72">
        <w:rPr>
          <w:rFonts w:cs="Arial"/>
          <w:lang w:val="es-ES"/>
        </w:rPr>
        <w:t>21 de abril de 2015 por unanimidad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9C2D75" w:rsidRDefault="00620FC7" w:rsidP="00620FC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 w:cs="Arial"/>
          <w:sz w:val="24"/>
        </w:rPr>
        <w:t xml:space="preserve">Proponer al Consejo Superior Universitario la designación de los docentes que se detallan a continuación para cumplir funciones de </w:t>
      </w:r>
      <w:r w:rsidRPr="00372584">
        <w:rPr>
          <w:rFonts w:ascii="Arial" w:hAnsi="Arial" w:cs="Arial"/>
          <w:color w:val="000000"/>
          <w:sz w:val="24"/>
          <w:szCs w:val="24"/>
        </w:rPr>
        <w:t xml:space="preserve">Tutor en el marco del </w:t>
      </w:r>
      <w:r>
        <w:rPr>
          <w:rFonts w:ascii="Arial" w:hAnsi="Arial" w:cs="Arial"/>
          <w:color w:val="000000"/>
          <w:sz w:val="24"/>
          <w:szCs w:val="24"/>
        </w:rPr>
        <w:t xml:space="preserve">Proyecto de Mejoramiento 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la Enseñanza en 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Carreras de 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Licenciatura en 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Sistemas/Sistemas de </w:t>
      </w:r>
    </w:p>
    <w:p w:rsidR="009C2D75" w:rsidRDefault="009C2D75" w:rsidP="00620FC7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D666C" w:rsidRDefault="004D666C" w:rsidP="00620FC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4D666C" w:rsidRDefault="004D666C" w:rsidP="00620FC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C2D75" w:rsidRPr="009C2D75" w:rsidRDefault="009C2D75" w:rsidP="00620FC7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C2D75">
        <w:rPr>
          <w:rFonts w:ascii="Arial" w:hAnsi="Arial" w:cs="Arial"/>
          <w:b/>
          <w:color w:val="000000"/>
          <w:sz w:val="24"/>
          <w:szCs w:val="24"/>
        </w:rPr>
        <w:lastRenderedPageBreak/>
        <w:t>///CDCIC-069/15</w:t>
      </w:r>
    </w:p>
    <w:p w:rsidR="009C2D75" w:rsidRDefault="009C2D75" w:rsidP="00620FC7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620FC7" w:rsidRDefault="00620FC7" w:rsidP="00620FC7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color w:val="000000"/>
          <w:sz w:val="24"/>
          <w:szCs w:val="24"/>
        </w:rPr>
        <w:t>Información/Análisis de Sistemas, Licenciat</w:t>
      </w:r>
      <w:r w:rsidR="009C2D75">
        <w:rPr>
          <w:rFonts w:ascii="Arial" w:hAnsi="Arial" w:cs="Arial"/>
          <w:color w:val="000000"/>
          <w:sz w:val="24"/>
          <w:szCs w:val="24"/>
        </w:rPr>
        <w:t xml:space="preserve">ura en Informática, Ingeniería </w:t>
      </w:r>
      <w:r>
        <w:rPr>
          <w:rFonts w:ascii="Arial" w:hAnsi="Arial" w:cs="Arial"/>
          <w:color w:val="000000"/>
          <w:sz w:val="24"/>
          <w:szCs w:val="24"/>
        </w:rPr>
        <w:t>en Computación e Ingeniería en Sistemas de Información/Informática (PROMINF)</w:t>
      </w:r>
      <w:r>
        <w:rPr>
          <w:rFonts w:ascii="Arial" w:hAnsi="Arial" w:cs="Arial"/>
          <w:sz w:val="24"/>
        </w:rPr>
        <w:t xml:space="preserve">: </w:t>
      </w:r>
    </w:p>
    <w:p w:rsidR="00620FC7" w:rsidRDefault="00620FC7" w:rsidP="00620FC7">
      <w:pPr>
        <w:jc w:val="both"/>
        <w:rPr>
          <w:rFonts w:ascii="Arial" w:hAnsi="Arial" w:cs="Arial"/>
          <w:sz w:val="24"/>
          <w:lang w:val="es-AR"/>
        </w:rPr>
      </w:pPr>
    </w:p>
    <w:p w:rsidR="00620FC7" w:rsidRPr="009734BF" w:rsidRDefault="00620FC7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734BF">
        <w:rPr>
          <w:rFonts w:ascii="Arial" w:hAnsi="Arial" w:cs="Arial"/>
          <w:sz w:val="24"/>
        </w:rPr>
        <w:t>Dra. Andrea Cohen</w:t>
      </w:r>
      <w:r w:rsidR="00914172" w:rsidRPr="009734BF">
        <w:rPr>
          <w:rFonts w:ascii="Arial" w:hAnsi="Arial" w:cs="Arial"/>
          <w:sz w:val="24"/>
        </w:rPr>
        <w:t xml:space="preserve"> (</w:t>
      </w:r>
      <w:proofErr w:type="spellStart"/>
      <w:r w:rsidR="00914172" w:rsidRPr="009734BF">
        <w:rPr>
          <w:rFonts w:ascii="Arial" w:hAnsi="Arial" w:cs="Arial"/>
          <w:sz w:val="24"/>
        </w:rPr>
        <w:t>Leg</w:t>
      </w:r>
      <w:proofErr w:type="spellEnd"/>
      <w:r w:rsidR="00914172" w:rsidRPr="009734BF">
        <w:rPr>
          <w:rFonts w:ascii="Arial" w:hAnsi="Arial" w:cs="Arial"/>
          <w:sz w:val="24"/>
        </w:rPr>
        <w:t>. 11828</w:t>
      </w:r>
      <w:r w:rsidRPr="009734BF">
        <w:rPr>
          <w:rFonts w:ascii="Arial" w:hAnsi="Arial" w:cs="Arial"/>
          <w:sz w:val="24"/>
        </w:rPr>
        <w:t>)</w:t>
      </w:r>
    </w:p>
    <w:p w:rsidR="00620FC7" w:rsidRPr="009734BF" w:rsidRDefault="00914172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 w:rsidRPr="009734BF">
        <w:rPr>
          <w:rFonts w:ascii="Arial" w:hAnsi="Arial" w:cs="Arial"/>
          <w:sz w:val="24"/>
        </w:rPr>
        <w:t xml:space="preserve">Dr. </w:t>
      </w:r>
      <w:r w:rsidR="009734BF" w:rsidRPr="009734BF">
        <w:rPr>
          <w:rFonts w:ascii="Arial" w:hAnsi="Arial" w:cs="Arial"/>
          <w:sz w:val="24"/>
        </w:rPr>
        <w:t xml:space="preserve">Martín </w:t>
      </w:r>
      <w:proofErr w:type="spellStart"/>
      <w:r w:rsidR="009734BF" w:rsidRPr="009734BF">
        <w:rPr>
          <w:rFonts w:ascii="Arial" w:hAnsi="Arial" w:cs="Arial"/>
          <w:sz w:val="24"/>
        </w:rPr>
        <w:t>Moguillansky</w:t>
      </w:r>
      <w:proofErr w:type="spellEnd"/>
      <w:r w:rsidR="009734BF" w:rsidRPr="009734BF">
        <w:rPr>
          <w:rFonts w:ascii="Arial" w:hAnsi="Arial" w:cs="Arial"/>
          <w:sz w:val="24"/>
        </w:rPr>
        <w:t xml:space="preserve"> (</w:t>
      </w:r>
      <w:proofErr w:type="spellStart"/>
      <w:r w:rsidR="009734BF" w:rsidRPr="009734BF">
        <w:rPr>
          <w:rFonts w:ascii="Arial" w:hAnsi="Arial" w:cs="Arial"/>
          <w:sz w:val="24"/>
        </w:rPr>
        <w:t>Leg</w:t>
      </w:r>
      <w:proofErr w:type="spellEnd"/>
      <w:r w:rsidR="009734BF" w:rsidRPr="009734BF">
        <w:rPr>
          <w:rFonts w:ascii="Arial" w:hAnsi="Arial" w:cs="Arial"/>
          <w:sz w:val="24"/>
        </w:rPr>
        <w:t>. 11425</w:t>
      </w:r>
      <w:r w:rsidR="00620FC7" w:rsidRPr="009734BF">
        <w:rPr>
          <w:rFonts w:ascii="Arial" w:hAnsi="Arial" w:cs="Arial"/>
          <w:sz w:val="24"/>
        </w:rPr>
        <w:t xml:space="preserve">) </w:t>
      </w:r>
    </w:p>
    <w:p w:rsidR="00620FC7" w:rsidRPr="009734BF" w:rsidRDefault="009734BF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 w:rsidRPr="009734BF">
        <w:rPr>
          <w:rFonts w:ascii="Arial" w:hAnsi="Arial" w:cs="Arial"/>
          <w:sz w:val="24"/>
        </w:rPr>
        <w:t xml:space="preserve">Ing. Juan Manuel </w:t>
      </w:r>
      <w:proofErr w:type="spellStart"/>
      <w:r w:rsidRPr="009734BF">
        <w:rPr>
          <w:rFonts w:ascii="Arial" w:hAnsi="Arial" w:cs="Arial"/>
          <w:sz w:val="24"/>
        </w:rPr>
        <w:t>Trippel</w:t>
      </w:r>
      <w:proofErr w:type="spellEnd"/>
      <w:r w:rsidRPr="009734BF">
        <w:rPr>
          <w:rFonts w:ascii="Arial" w:hAnsi="Arial" w:cs="Arial"/>
          <w:sz w:val="24"/>
        </w:rPr>
        <w:t xml:space="preserve"> </w:t>
      </w:r>
      <w:proofErr w:type="spellStart"/>
      <w:r w:rsidRPr="009734BF">
        <w:rPr>
          <w:rFonts w:ascii="Arial" w:hAnsi="Arial" w:cs="Arial"/>
          <w:sz w:val="24"/>
        </w:rPr>
        <w:t>Nagel</w:t>
      </w:r>
      <w:proofErr w:type="spellEnd"/>
      <w:r w:rsidRPr="009734BF">
        <w:rPr>
          <w:rFonts w:ascii="Arial" w:hAnsi="Arial" w:cs="Arial"/>
          <w:sz w:val="24"/>
        </w:rPr>
        <w:t xml:space="preserve"> (</w:t>
      </w:r>
      <w:proofErr w:type="spellStart"/>
      <w:r w:rsidRPr="009734BF">
        <w:rPr>
          <w:rFonts w:ascii="Arial" w:hAnsi="Arial" w:cs="Arial"/>
          <w:sz w:val="24"/>
        </w:rPr>
        <w:t>Leg</w:t>
      </w:r>
      <w:proofErr w:type="spellEnd"/>
      <w:r w:rsidRPr="009734BF">
        <w:rPr>
          <w:rFonts w:ascii="Arial" w:hAnsi="Arial" w:cs="Arial"/>
          <w:sz w:val="24"/>
        </w:rPr>
        <w:t>. 13852</w:t>
      </w:r>
      <w:r w:rsidR="00620FC7" w:rsidRPr="009734BF">
        <w:rPr>
          <w:rFonts w:ascii="Arial" w:hAnsi="Arial" w:cs="Arial"/>
          <w:sz w:val="24"/>
        </w:rPr>
        <w:t>)</w:t>
      </w:r>
    </w:p>
    <w:p w:rsidR="00620FC7" w:rsidRPr="009734BF" w:rsidRDefault="00914172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 w:rsidRPr="009734BF">
        <w:rPr>
          <w:rFonts w:ascii="Arial" w:hAnsi="Arial" w:cs="Arial"/>
          <w:sz w:val="24"/>
        </w:rPr>
        <w:t xml:space="preserve">Dr. Sebastián </w:t>
      </w:r>
      <w:proofErr w:type="spellStart"/>
      <w:r w:rsidRPr="009734BF">
        <w:rPr>
          <w:rFonts w:ascii="Arial" w:hAnsi="Arial" w:cs="Arial"/>
          <w:sz w:val="24"/>
        </w:rPr>
        <w:t>Gottifredi</w:t>
      </w:r>
      <w:proofErr w:type="spellEnd"/>
      <w:r w:rsidRPr="009734BF">
        <w:rPr>
          <w:rFonts w:ascii="Arial" w:hAnsi="Arial" w:cs="Arial"/>
          <w:sz w:val="24"/>
        </w:rPr>
        <w:t xml:space="preserve"> (</w:t>
      </w:r>
      <w:proofErr w:type="spellStart"/>
      <w:r w:rsidRPr="009734BF">
        <w:rPr>
          <w:rFonts w:ascii="Arial" w:hAnsi="Arial" w:cs="Arial"/>
          <w:sz w:val="24"/>
        </w:rPr>
        <w:t>Leg</w:t>
      </w:r>
      <w:proofErr w:type="spellEnd"/>
      <w:r w:rsidRPr="009734BF">
        <w:rPr>
          <w:rFonts w:ascii="Arial" w:hAnsi="Arial" w:cs="Arial"/>
          <w:sz w:val="24"/>
        </w:rPr>
        <w:t>. 11220</w:t>
      </w:r>
      <w:r w:rsidR="00620FC7" w:rsidRPr="009734BF">
        <w:rPr>
          <w:rFonts w:ascii="Arial" w:hAnsi="Arial" w:cs="Arial"/>
          <w:sz w:val="24"/>
        </w:rPr>
        <w:t>)</w:t>
      </w:r>
    </w:p>
    <w:p w:rsidR="00620FC7" w:rsidRPr="009734BF" w:rsidRDefault="009734BF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 w:rsidRPr="009734BF">
        <w:rPr>
          <w:rFonts w:ascii="Arial" w:hAnsi="Arial" w:cs="Arial"/>
          <w:sz w:val="24"/>
        </w:rPr>
        <w:t xml:space="preserve">Ing. Matías </w:t>
      </w:r>
      <w:proofErr w:type="spellStart"/>
      <w:r w:rsidRPr="009734BF">
        <w:rPr>
          <w:rFonts w:ascii="Arial" w:hAnsi="Arial" w:cs="Arial"/>
          <w:sz w:val="24"/>
        </w:rPr>
        <w:t>Selzer</w:t>
      </w:r>
      <w:proofErr w:type="spellEnd"/>
      <w:r w:rsidRPr="009734BF">
        <w:rPr>
          <w:rFonts w:ascii="Arial" w:hAnsi="Arial" w:cs="Arial"/>
          <w:sz w:val="24"/>
        </w:rPr>
        <w:t xml:space="preserve"> (</w:t>
      </w:r>
      <w:proofErr w:type="spellStart"/>
      <w:r w:rsidRPr="009734BF">
        <w:rPr>
          <w:rFonts w:ascii="Arial" w:hAnsi="Arial" w:cs="Arial"/>
          <w:sz w:val="24"/>
        </w:rPr>
        <w:t>Leg</w:t>
      </w:r>
      <w:proofErr w:type="spellEnd"/>
      <w:r w:rsidRPr="009734BF">
        <w:rPr>
          <w:rFonts w:ascii="Arial" w:hAnsi="Arial" w:cs="Arial"/>
          <w:sz w:val="24"/>
        </w:rPr>
        <w:t>. 13084</w:t>
      </w:r>
      <w:r w:rsidR="00620FC7" w:rsidRPr="009734BF">
        <w:rPr>
          <w:rFonts w:ascii="Arial" w:hAnsi="Arial" w:cs="Arial"/>
          <w:sz w:val="24"/>
        </w:rPr>
        <w:t xml:space="preserve">) </w:t>
      </w:r>
    </w:p>
    <w:p w:rsidR="00620FC7" w:rsidRPr="009734BF" w:rsidRDefault="00693AE9" w:rsidP="00620FC7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 w:rsidRPr="009734BF">
        <w:rPr>
          <w:rFonts w:ascii="Arial" w:hAnsi="Arial" w:cs="Arial"/>
          <w:sz w:val="24"/>
        </w:rPr>
        <w:t>Mg</w:t>
      </w:r>
      <w:r w:rsidR="00914172" w:rsidRPr="009734BF">
        <w:rPr>
          <w:rFonts w:ascii="Arial" w:hAnsi="Arial" w:cs="Arial"/>
          <w:sz w:val="24"/>
        </w:rPr>
        <w:t xml:space="preserve">. </w:t>
      </w:r>
      <w:proofErr w:type="spellStart"/>
      <w:r w:rsidR="00914172" w:rsidRPr="009734BF">
        <w:rPr>
          <w:rFonts w:ascii="Arial" w:hAnsi="Arial" w:cs="Arial"/>
          <w:sz w:val="24"/>
        </w:rPr>
        <w:t>Telma</w:t>
      </w:r>
      <w:proofErr w:type="spellEnd"/>
      <w:r w:rsidR="00914172" w:rsidRPr="009734BF">
        <w:rPr>
          <w:rFonts w:ascii="Arial" w:hAnsi="Arial" w:cs="Arial"/>
          <w:sz w:val="24"/>
        </w:rPr>
        <w:t xml:space="preserve"> </w:t>
      </w:r>
      <w:proofErr w:type="spellStart"/>
      <w:r w:rsidR="00914172" w:rsidRPr="009734BF">
        <w:rPr>
          <w:rFonts w:ascii="Arial" w:hAnsi="Arial" w:cs="Arial"/>
          <w:sz w:val="24"/>
        </w:rPr>
        <w:t>Delladio</w:t>
      </w:r>
      <w:proofErr w:type="spellEnd"/>
      <w:r w:rsidR="00914172" w:rsidRPr="009734BF">
        <w:rPr>
          <w:rFonts w:ascii="Arial" w:hAnsi="Arial" w:cs="Arial"/>
          <w:sz w:val="24"/>
        </w:rPr>
        <w:t xml:space="preserve"> (</w:t>
      </w:r>
      <w:proofErr w:type="spellStart"/>
      <w:r w:rsidR="00914172" w:rsidRPr="009734BF">
        <w:rPr>
          <w:rFonts w:ascii="Arial" w:hAnsi="Arial" w:cs="Arial"/>
          <w:sz w:val="24"/>
        </w:rPr>
        <w:t>Leg</w:t>
      </w:r>
      <w:proofErr w:type="spellEnd"/>
      <w:r w:rsidR="00914172" w:rsidRPr="009734BF">
        <w:rPr>
          <w:rFonts w:ascii="Arial" w:hAnsi="Arial" w:cs="Arial"/>
          <w:sz w:val="24"/>
        </w:rPr>
        <w:t>. 9571</w:t>
      </w:r>
      <w:r w:rsidR="00620FC7" w:rsidRPr="009734BF">
        <w:rPr>
          <w:rFonts w:ascii="Arial" w:hAnsi="Arial" w:cs="Arial"/>
          <w:sz w:val="24"/>
        </w:rPr>
        <w:t>)</w:t>
      </w:r>
    </w:p>
    <w:p w:rsidR="00620FC7" w:rsidRPr="00434830" w:rsidRDefault="00620FC7" w:rsidP="00620FC7">
      <w:pPr>
        <w:jc w:val="both"/>
        <w:rPr>
          <w:rFonts w:ascii="Arial" w:hAnsi="Arial" w:cs="Arial"/>
          <w:b/>
          <w:sz w:val="24"/>
        </w:rPr>
      </w:pPr>
    </w:p>
    <w:p w:rsidR="00914172" w:rsidRPr="00914172" w:rsidRDefault="00620FC7" w:rsidP="00914172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E95E20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E95E20">
        <w:rPr>
          <w:rFonts w:ascii="Arial" w:hAnsi="Arial"/>
          <w:snapToGrid w:val="0"/>
          <w:sz w:val="24"/>
          <w:lang w:val="es-ES_tradnl"/>
        </w:rPr>
        <w:t xml:space="preserve"> Establecer que los docentes consignados en el Art. 1º</w:t>
      </w:r>
      <w:r w:rsidR="00914172" w:rsidRPr="00E95E20">
        <w:rPr>
          <w:rFonts w:ascii="Arial" w:hAnsi="Arial"/>
          <w:snapToGrid w:val="0"/>
          <w:sz w:val="24"/>
          <w:lang w:val="es-ES_tradnl"/>
        </w:rPr>
        <w:t>) percibirán una suma</w:t>
      </w:r>
      <w:r w:rsidR="00914172" w:rsidRPr="00E95E20">
        <w:rPr>
          <w:rFonts w:ascii="Arial" w:hAnsi="Arial" w:cs="Arial"/>
          <w:sz w:val="24"/>
          <w:szCs w:val="24"/>
          <w:lang w:val="es-ES_tradnl" w:eastAsia="en-US"/>
        </w:rPr>
        <w:t xml:space="preserve"> fija mensual, no remunerativa y no </w:t>
      </w:r>
      <w:proofErr w:type="spellStart"/>
      <w:r w:rsidR="00914172" w:rsidRPr="00E95E20">
        <w:rPr>
          <w:rFonts w:ascii="Arial" w:hAnsi="Arial" w:cs="Arial"/>
          <w:sz w:val="24"/>
          <w:szCs w:val="24"/>
          <w:lang w:val="es-ES_tradnl" w:eastAsia="en-US"/>
        </w:rPr>
        <w:t>bonificable</w:t>
      </w:r>
      <w:proofErr w:type="spellEnd"/>
      <w:r w:rsidR="00914172" w:rsidRPr="00E95E20">
        <w:rPr>
          <w:rFonts w:ascii="Arial" w:hAnsi="Arial" w:cs="Arial"/>
          <w:sz w:val="24"/>
          <w:szCs w:val="24"/>
          <w:lang w:val="es-ES_tradnl" w:eastAsia="en-US"/>
        </w:rPr>
        <w:t xml:space="preserve">, de </w:t>
      </w:r>
      <w:r w:rsidR="00914172" w:rsidRPr="00E95E20">
        <w:rPr>
          <w:rFonts w:ascii="Arial" w:hAnsi="Arial" w:cs="Arial"/>
          <w:bCs/>
          <w:sz w:val="24"/>
          <w:szCs w:val="24"/>
          <w:lang w:val="es-ES_tradnl" w:eastAsia="en-US"/>
        </w:rPr>
        <w:t xml:space="preserve">pesos </w:t>
      </w:r>
      <w:r w:rsidR="00914172" w:rsidRPr="00E95E20">
        <w:rPr>
          <w:rFonts w:ascii="Arial" w:hAnsi="Arial" w:cs="Arial"/>
          <w:b/>
          <w:sz w:val="24"/>
          <w:szCs w:val="24"/>
          <w:lang w:val="es-ES_tradnl" w:eastAsia="en-US"/>
        </w:rPr>
        <w:t xml:space="preserve">DOS MIL </w:t>
      </w:r>
      <w:r w:rsidR="00E95E20" w:rsidRPr="00E95E20">
        <w:rPr>
          <w:rFonts w:ascii="Arial" w:hAnsi="Arial" w:cs="Arial"/>
          <w:b/>
          <w:sz w:val="24"/>
          <w:szCs w:val="24"/>
          <w:lang w:val="es-ES_tradnl" w:eastAsia="en-US"/>
        </w:rPr>
        <w:t>QUINIENTOS</w:t>
      </w:r>
      <w:r w:rsidR="00914172" w:rsidRPr="00E95E20">
        <w:rPr>
          <w:rFonts w:ascii="Arial" w:hAnsi="Arial" w:cs="Arial"/>
          <w:b/>
          <w:sz w:val="24"/>
          <w:szCs w:val="24"/>
          <w:lang w:val="es-ES_tradnl" w:eastAsia="en-US"/>
        </w:rPr>
        <w:t xml:space="preserve"> con 00/100 ($ 2</w:t>
      </w:r>
      <w:r w:rsidR="00E95E20" w:rsidRPr="00E95E20">
        <w:rPr>
          <w:rFonts w:ascii="Arial" w:hAnsi="Arial" w:cs="Arial"/>
          <w:b/>
          <w:sz w:val="24"/>
          <w:szCs w:val="24"/>
          <w:lang w:eastAsia="en-US"/>
        </w:rPr>
        <w:t>.5</w:t>
      </w:r>
      <w:r w:rsidR="00914172" w:rsidRPr="00E95E20">
        <w:rPr>
          <w:rFonts w:ascii="Arial" w:hAnsi="Arial" w:cs="Arial"/>
          <w:b/>
          <w:sz w:val="24"/>
          <w:szCs w:val="24"/>
          <w:lang w:eastAsia="en-US"/>
        </w:rPr>
        <w:t>00,00</w:t>
      </w:r>
      <w:r w:rsidR="00914172" w:rsidRPr="00E95E20">
        <w:rPr>
          <w:rFonts w:ascii="Arial" w:hAnsi="Arial" w:cs="Arial"/>
          <w:b/>
          <w:sz w:val="24"/>
          <w:szCs w:val="24"/>
          <w:lang w:val="es-ES_tradnl" w:eastAsia="en-US"/>
        </w:rPr>
        <w:t>.-)</w:t>
      </w:r>
      <w:r w:rsidR="00914172" w:rsidRPr="00E95E20">
        <w:rPr>
          <w:rFonts w:ascii="Arial" w:hAnsi="Arial" w:cs="Arial"/>
          <w:sz w:val="24"/>
          <w:szCs w:val="24"/>
          <w:lang w:val="es-ES_tradnl" w:eastAsia="en-US"/>
        </w:rPr>
        <w:t>. Dicha</w:t>
      </w:r>
      <w:r w:rsidR="00914172" w:rsidRPr="00E95E20">
        <w:rPr>
          <w:rFonts w:ascii="Arial" w:hAnsi="Arial"/>
          <w:sz w:val="24"/>
          <w:szCs w:val="24"/>
          <w:lang w:val="es-AR" w:eastAsia="en-US"/>
        </w:rPr>
        <w:t xml:space="preserve"> suma incluye el sueldo anual complementario y estará sujeta a los descuentos estipulados por Ley</w:t>
      </w:r>
      <w:r w:rsidR="00914172" w:rsidRPr="00E95E20">
        <w:rPr>
          <w:rFonts w:ascii="Arial" w:hAnsi="Arial"/>
          <w:sz w:val="24"/>
          <w:szCs w:val="24"/>
          <w:lang w:val="es-ES_tradnl" w:eastAsia="en-US"/>
        </w:rPr>
        <w:t>.-</w:t>
      </w:r>
    </w:p>
    <w:p w:rsidR="00620FC7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620FC7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</w:t>
      </w:r>
      <w:r w:rsidR="00914172" w:rsidRPr="00914172">
        <w:rPr>
          <w:rFonts w:ascii="Arial" w:hAnsi="Arial"/>
          <w:snapToGrid w:val="0"/>
          <w:sz w:val="24"/>
        </w:rPr>
        <w:t>SUPEDITAR la presente designación al envío efectivo de los fondos por parte de la Secretaría de Políticas Universitarias q</w:t>
      </w:r>
      <w:r w:rsidR="00914172">
        <w:rPr>
          <w:rFonts w:ascii="Arial" w:hAnsi="Arial"/>
          <w:snapToGrid w:val="0"/>
          <w:sz w:val="24"/>
        </w:rPr>
        <w:t>ue permitan financiar los</w:t>
      </w:r>
      <w:r w:rsidR="00914172" w:rsidRPr="00914172">
        <w:rPr>
          <w:rFonts w:ascii="Arial" w:hAnsi="Arial"/>
          <w:snapToGrid w:val="0"/>
          <w:sz w:val="24"/>
        </w:rPr>
        <w:t xml:space="preserve"> </w:t>
      </w:r>
      <w:r w:rsidR="00914172">
        <w:rPr>
          <w:rFonts w:ascii="Arial" w:hAnsi="Arial"/>
          <w:snapToGrid w:val="0"/>
          <w:sz w:val="24"/>
        </w:rPr>
        <w:t xml:space="preserve">mencionados </w:t>
      </w:r>
      <w:r w:rsidR="00914172" w:rsidRPr="00914172">
        <w:rPr>
          <w:rFonts w:ascii="Arial" w:hAnsi="Arial"/>
          <w:snapToGrid w:val="0"/>
          <w:sz w:val="24"/>
        </w:rPr>
        <w:t>cargo</w:t>
      </w:r>
      <w:r w:rsidR="00914172">
        <w:rPr>
          <w:rFonts w:ascii="Arial" w:hAnsi="Arial"/>
          <w:snapToGrid w:val="0"/>
          <w:sz w:val="24"/>
        </w:rPr>
        <w:t>s</w:t>
      </w:r>
      <w:r w:rsidR="00914172" w:rsidRPr="00914172">
        <w:rPr>
          <w:rFonts w:ascii="Arial" w:hAnsi="Arial"/>
          <w:snapToGrid w:val="0"/>
          <w:sz w:val="24"/>
        </w:rPr>
        <w:t xml:space="preserve"> en el marco del Proyecto de Mejoramiento en la Enseñanza en Carreras de Licenciatura en Sistemas/Sistemas de Información/Análisis de Sistemas, Licenciatura en Informática, Ingeniería den Computación e Ingeniería en Sistemas de Información/Informática (PROMINF</w:t>
      </w:r>
      <w:r w:rsidR="00914172">
        <w:rPr>
          <w:rFonts w:ascii="Arial" w:hAnsi="Arial"/>
          <w:snapToGrid w:val="0"/>
          <w:sz w:val="24"/>
        </w:rPr>
        <w:t>).-</w:t>
      </w:r>
    </w:p>
    <w:p w:rsidR="00914172" w:rsidRPr="00434830" w:rsidRDefault="00914172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620FC7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Art. </w:t>
      </w:r>
      <w:r>
        <w:rPr>
          <w:rFonts w:ascii="Arial" w:hAnsi="Arial"/>
          <w:b/>
          <w:snapToGrid w:val="0"/>
          <w:sz w:val="24"/>
          <w:lang w:val="es-ES_tradnl"/>
        </w:rPr>
        <w:t>4</w:t>
      </w:r>
      <w:r w:rsidRPr="0092149C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Pr="0092149C">
        <w:rPr>
          <w:rFonts w:ascii="Arial" w:hAnsi="Arial"/>
          <w:snapToGrid w:val="0"/>
          <w:sz w:val="24"/>
          <w:lang w:val="es-ES_tradnl"/>
        </w:rPr>
        <w:t xml:space="preserve">Regístrese; comuníquese; </w:t>
      </w:r>
      <w:r w:rsidRPr="00F63B37">
        <w:rPr>
          <w:rFonts w:ascii="Arial" w:hAnsi="Arial"/>
          <w:snapToGrid w:val="0"/>
          <w:sz w:val="24"/>
          <w:lang w:val="es-ES_tradnl"/>
        </w:rPr>
        <w:t>gírese</w:t>
      </w:r>
      <w:r w:rsidRPr="0092149C">
        <w:rPr>
          <w:rFonts w:ascii="Arial" w:hAnsi="Arial"/>
          <w:snapToGrid w:val="0"/>
          <w:sz w:val="24"/>
          <w:lang w:val="es-ES_tradnl"/>
        </w:rPr>
        <w:t xml:space="preserve"> </w:t>
      </w:r>
      <w:r>
        <w:rPr>
          <w:rFonts w:ascii="Arial" w:hAnsi="Arial"/>
          <w:snapToGrid w:val="0"/>
          <w:sz w:val="24"/>
          <w:lang w:val="es-ES_tradnl"/>
        </w:rPr>
        <w:t>a la Dirección General de Economía y Finanzas ((</w:t>
      </w:r>
      <w:r>
        <w:rPr>
          <w:rFonts w:ascii="Arial" w:hAnsi="Arial"/>
          <w:snapToGrid w:val="0"/>
          <w:sz w:val="24"/>
          <w:lang w:val="es-AR"/>
        </w:rPr>
        <w:t>Dirección de Programación Presupuestaria) a los fines que corresponda</w:t>
      </w:r>
      <w:r>
        <w:rPr>
          <w:rFonts w:ascii="Arial" w:hAnsi="Arial"/>
          <w:snapToGrid w:val="0"/>
          <w:sz w:val="24"/>
          <w:lang w:val="es-ES_tradnl"/>
        </w:rPr>
        <w:t>; pase al Consejo Superior Universitario para su tratamiento</w:t>
      </w:r>
      <w:r w:rsidRPr="0092149C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</w:t>
      </w:r>
      <w:r>
        <w:rPr>
          <w:rFonts w:ascii="Arial" w:hAnsi="Arial"/>
          <w:snapToGrid w:val="0"/>
          <w:sz w:val="24"/>
          <w:lang w:val="es-ES_tradnl"/>
        </w:rPr>
        <w:t>-------------------------------------------------------------</w:t>
      </w:r>
    </w:p>
    <w:p w:rsidR="00620FC7" w:rsidRPr="0092149C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620FC7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620FC7" w:rsidRDefault="00620FC7" w:rsidP="00620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620FC7" w:rsidRDefault="00620FC7" w:rsidP="00620FC7">
      <w:pPr>
        <w:jc w:val="both"/>
        <w:rPr>
          <w:rFonts w:ascii="Arial" w:hAnsi="Arial"/>
          <w:sz w:val="24"/>
          <w:lang w:val="es-ES_tradnl"/>
        </w:rPr>
      </w:pPr>
    </w:p>
    <w:p w:rsidR="00F91FCF" w:rsidRPr="00AF6E9D" w:rsidRDefault="00F91FCF" w:rsidP="00620FC7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0800"/>
    <w:rsid w:val="004B22B1"/>
    <w:rsid w:val="004D666C"/>
    <w:rsid w:val="004E794D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20FC7"/>
    <w:rsid w:val="006549CB"/>
    <w:rsid w:val="00693AE9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A39B2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77A72"/>
    <w:rsid w:val="00881C9E"/>
    <w:rsid w:val="00895668"/>
    <w:rsid w:val="008C272E"/>
    <w:rsid w:val="008E0662"/>
    <w:rsid w:val="008F2BBF"/>
    <w:rsid w:val="00914172"/>
    <w:rsid w:val="00923E29"/>
    <w:rsid w:val="009311B7"/>
    <w:rsid w:val="009429B3"/>
    <w:rsid w:val="00944398"/>
    <w:rsid w:val="00952693"/>
    <w:rsid w:val="00961F16"/>
    <w:rsid w:val="009734BF"/>
    <w:rsid w:val="0098288F"/>
    <w:rsid w:val="00982C48"/>
    <w:rsid w:val="009C2D75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5E20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2025-07-06T18:05:00Z</dcterms:created>
  <dcterms:modified xsi:type="dcterms:W3CDTF">2025-07-06T18:05:00Z</dcterms:modified>
</cp:coreProperties>
</file>