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 w:rsidRPr="00A158E0">
        <w:rPr>
          <w:lang w:val="es-AR"/>
        </w:rPr>
        <w:t>C</w:t>
      </w:r>
      <w:r w:rsidR="00792B0C" w:rsidRPr="00A158E0">
        <w:rPr>
          <w:lang w:val="es-AR"/>
        </w:rPr>
        <w:t>DCIC-</w:t>
      </w:r>
      <w:r w:rsidR="00C212E7">
        <w:rPr>
          <w:lang w:val="es-AR"/>
        </w:rPr>
        <w:t>140</w:t>
      </w:r>
      <w:r w:rsidR="005F1B0E" w:rsidRPr="00A158E0">
        <w:rPr>
          <w:lang w:val="es-AR"/>
        </w:rPr>
        <w:t>/</w:t>
      </w:r>
      <w:r w:rsidR="001F4952" w:rsidRPr="00A158E0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F11B4" w:rsidRPr="00AF11B4" w:rsidRDefault="003A3F28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VISTO</w:t>
      </w:r>
      <w:r w:rsidR="00AF11B4"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:</w:t>
      </w:r>
    </w:p>
    <w:p w:rsidR="003A3F28" w:rsidRDefault="003A3F28" w:rsidP="003A3F28">
      <w:pPr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360ED9" w:rsidRDefault="00AF11B4" w:rsidP="00360ED9">
      <w:pPr>
        <w:adjustRightInd w:val="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F11B4">
        <w:rPr>
          <w:rFonts w:ascii="Arial" w:hAnsi="Arial" w:cs="Arial"/>
          <w:snapToGrid/>
          <w:sz w:val="24"/>
          <w:szCs w:val="24"/>
          <w:lang w:val="es-ES_tradnl" w:eastAsia="en-US"/>
        </w:rPr>
        <w:t> </w:t>
      </w:r>
      <w:r w:rsidR="00360ED9" w:rsidRPr="00360ED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Resolución Nº 197/2011 mediante la cual la Agencia Nacional de Promoción Científica  Tecnológica a través del FONCYT convocó a las Instituciones Universitarias de la gestión pública radicadas en el país a la presentación de propuestas para la adjudicación de cupos de becas a estudiantes para la finalización de estudios de grado relacionadas con el sector </w:t>
      </w:r>
      <w:proofErr w:type="spellStart"/>
      <w:r w:rsidR="00360ED9" w:rsidRPr="00360ED9">
        <w:rPr>
          <w:rFonts w:ascii="Arial" w:hAnsi="Arial" w:cs="Arial"/>
          <w:snapToGrid/>
          <w:sz w:val="24"/>
          <w:szCs w:val="24"/>
          <w:lang w:val="es-ES_tradnl" w:eastAsia="en-US"/>
        </w:rPr>
        <w:t>TICs</w:t>
      </w:r>
      <w:proofErr w:type="spellEnd"/>
      <w:r w:rsidR="00360ED9" w:rsidRPr="00360ED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2011; </w:t>
      </w:r>
      <w:r w:rsidR="00360ED9">
        <w:rPr>
          <w:rFonts w:ascii="Arial" w:hAnsi="Arial" w:cs="Arial"/>
          <w:snapToGrid/>
          <w:sz w:val="24"/>
          <w:szCs w:val="24"/>
          <w:lang w:val="es-ES_tradnl" w:eastAsia="en-US"/>
        </w:rPr>
        <w:t>y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AF11B4" w:rsidRPr="00AF11B4" w:rsidRDefault="00386965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CONSIDERANDO</w:t>
      </w:r>
      <w:r w:rsidR="00AF11B4"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:</w:t>
      </w: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A77295" w:rsidRDefault="003A3F28" w:rsidP="00A77295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Que </w:t>
      </w:r>
      <w:r w:rsidR="00AF11B4" w:rsidRPr="00AF11B4">
        <w:rPr>
          <w:rFonts w:ascii="Arial" w:hAnsi="Arial" w:cs="Arial"/>
          <w:snapToGrid/>
          <w:sz w:val="24"/>
          <w:szCs w:val="24"/>
          <w:lang w:val="es-AR" w:eastAsia="en-US"/>
        </w:rPr>
        <w:t xml:space="preserve">la Universidad Nacional del Sur participó de la misma mediante la presentación de un Proyecto elaborado conjuntamente por los </w:t>
      </w:r>
      <w:r w:rsidR="00AF11B4" w:rsidRPr="00AF11B4">
        <w:rPr>
          <w:rFonts w:ascii="Arial" w:hAnsi="Arial" w:cs="Arial"/>
          <w:snapToGrid/>
          <w:sz w:val="24"/>
          <w:szCs w:val="24"/>
          <w:lang w:val="es-AR" w:eastAsia="es-AR"/>
        </w:rPr>
        <w:t>Departamentos de Ingeniería Eléctrica y de Computadoras y Ciencias e Ingeniería de la Computación considerando que la convocatoria se refiere a alumnos de las carreras Ingeniería en Electrónica, Licenciatura en Ciencias de la Computación e Ingeniería en Sistemas de Computación</w:t>
      </w:r>
      <w:r w:rsidR="00AF11B4" w:rsidRPr="00AF11B4">
        <w:rPr>
          <w:rFonts w:ascii="Arial" w:hAnsi="Arial" w:cs="Arial"/>
          <w:snapToGrid/>
          <w:sz w:val="24"/>
          <w:szCs w:val="24"/>
          <w:lang w:val="es-AR" w:eastAsia="en-US"/>
        </w:rPr>
        <w:t xml:space="preserve">; </w:t>
      </w:r>
    </w:p>
    <w:p w:rsidR="00A77295" w:rsidRPr="00AF11B4" w:rsidRDefault="00A77295" w:rsidP="00A77295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77295" w:rsidRPr="00A77295" w:rsidRDefault="00AF11B4" w:rsidP="00A77295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ab/>
      </w:r>
      <w:r w:rsidR="00386965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con fecha </w:t>
      </w:r>
      <w:r w:rsidR="00386965">
        <w:rPr>
          <w:rFonts w:ascii="Arial" w:hAnsi="Arial" w:cs="Arial"/>
          <w:snapToGrid/>
          <w:sz w:val="24"/>
          <w:szCs w:val="24"/>
          <w:lang w:val="es-ES_tradnl" w:eastAsia="es-AR"/>
        </w:rPr>
        <w:t>21 de abril de 2014 se suscribió una</w:t>
      </w:r>
      <w:r w:rsidR="00A77295" w:rsidRPr="00A7729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Adenda al Contrato de Promoción Becas Tics 2011 </w:t>
      </w:r>
      <w:r w:rsidR="0038696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firmado </w:t>
      </w:r>
      <w:r w:rsidR="00A77295" w:rsidRPr="00A77295">
        <w:rPr>
          <w:rFonts w:ascii="Arial" w:hAnsi="Arial" w:cs="Arial"/>
          <w:snapToGrid/>
          <w:sz w:val="24"/>
          <w:szCs w:val="24"/>
          <w:lang w:val="es-ES_tradnl" w:eastAsia="es-AR"/>
        </w:rPr>
        <w:t>entre la Agencia Nacional de Promoción Científica y Tecnológica del Ministerio de Ciencia, Tecnología e Innovación Productiva y la Universidad Nacional del Sur,</w:t>
      </w:r>
      <w:r w:rsidR="00386965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mediante la cual se otorgaron </w:t>
      </w:r>
      <w:r w:rsidR="00386965" w:rsidRPr="00386965">
        <w:rPr>
          <w:rFonts w:ascii="Arial" w:hAnsi="Arial" w:cs="Arial"/>
          <w:snapToGrid/>
          <w:sz w:val="24"/>
          <w:szCs w:val="24"/>
          <w:lang w:val="es-AR" w:eastAsia="es-AR"/>
        </w:rPr>
        <w:t xml:space="preserve">cien (100) </w:t>
      </w:r>
      <w:r w:rsidR="00386965">
        <w:rPr>
          <w:rFonts w:ascii="Arial" w:hAnsi="Arial" w:cs="Arial"/>
          <w:snapToGrid/>
          <w:sz w:val="24"/>
          <w:szCs w:val="24"/>
          <w:lang w:val="es-AR" w:eastAsia="es-AR"/>
        </w:rPr>
        <w:t xml:space="preserve">nuevos </w:t>
      </w:r>
      <w:r w:rsidR="00386965" w:rsidRPr="00386965">
        <w:rPr>
          <w:rFonts w:ascii="Arial" w:hAnsi="Arial" w:cs="Arial"/>
          <w:snapToGrid/>
          <w:sz w:val="24"/>
          <w:szCs w:val="24"/>
          <w:lang w:val="es-AR" w:eastAsia="es-AR"/>
        </w:rPr>
        <w:t>estipendios mensuales</w:t>
      </w:r>
      <w:r w:rsidR="00386965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AF11B4" w:rsidRPr="00AF11B4" w:rsidRDefault="00AF11B4" w:rsidP="00AF11B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BE50F5" w:rsidRPr="00BE50F5" w:rsidRDefault="00AF11B4" w:rsidP="00BE50F5">
      <w:pPr>
        <w:ind w:firstLine="709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BE50F5">
        <w:rPr>
          <w:rFonts w:ascii="Arial" w:hAnsi="Arial" w:cs="Arial"/>
          <w:snapToGrid/>
          <w:sz w:val="24"/>
          <w:szCs w:val="24"/>
          <w:lang w:val="es-AR" w:eastAsia="es-AR"/>
        </w:rPr>
        <w:t>por Disposición</w:t>
      </w:r>
      <w:r w:rsidR="00EF2044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proofErr w:type="spellStart"/>
      <w:r w:rsidR="00EF2044">
        <w:rPr>
          <w:rFonts w:ascii="Arial" w:hAnsi="Arial" w:cs="Arial"/>
          <w:snapToGrid/>
          <w:sz w:val="24"/>
          <w:szCs w:val="24"/>
          <w:lang w:val="es-AR" w:eastAsia="es-AR"/>
        </w:rPr>
        <w:t>ANPCyT</w:t>
      </w:r>
      <w:proofErr w:type="spellEnd"/>
      <w:r w:rsidR="00EF2044">
        <w:rPr>
          <w:rFonts w:ascii="Arial" w:hAnsi="Arial" w:cs="Arial"/>
          <w:snapToGrid/>
          <w:sz w:val="24"/>
          <w:szCs w:val="24"/>
          <w:lang w:val="es-AR" w:eastAsia="es-AR"/>
        </w:rPr>
        <w:t xml:space="preserve"> Nº 59/14 </w:t>
      </w:r>
      <w:r w:rsidR="00BE50F5" w:rsidRPr="00BE50F5">
        <w:rPr>
          <w:rFonts w:ascii="Arial" w:hAnsi="Arial" w:cs="Arial"/>
          <w:snapToGrid/>
          <w:sz w:val="24"/>
          <w:szCs w:val="24"/>
          <w:lang w:val="es-AR" w:eastAsia="es-AR"/>
        </w:rPr>
        <w:t>de</w:t>
      </w:r>
      <w:r w:rsidR="00BE50F5">
        <w:rPr>
          <w:rFonts w:ascii="Arial" w:hAnsi="Arial" w:cs="Arial"/>
          <w:snapToGrid/>
          <w:sz w:val="24"/>
          <w:szCs w:val="24"/>
          <w:lang w:val="es-AR" w:eastAsia="es-AR"/>
        </w:rPr>
        <w:t>l Director General del Fondo para la Investigación Científica y Tecnológica se procedió a la selección de los becarios propuestos por las mencionadas Unidades Académicas, y se aprobó dicha nómina mediante Resolución R-</w:t>
      </w:r>
      <w:r w:rsidR="00A77295">
        <w:rPr>
          <w:rFonts w:ascii="Arial" w:hAnsi="Arial" w:cs="Arial"/>
          <w:snapToGrid/>
          <w:sz w:val="24"/>
          <w:szCs w:val="24"/>
          <w:lang w:val="es-AR" w:eastAsia="es-AR"/>
        </w:rPr>
        <w:t xml:space="preserve">1353/2014; </w:t>
      </w:r>
      <w:r w:rsidR="00BE50F5" w:rsidRPr="00BE50F5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</w:p>
    <w:p w:rsidR="00AF11B4" w:rsidRPr="00AF11B4" w:rsidRDefault="00AF11B4" w:rsidP="00AF11B4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60ED9" w:rsidRPr="00AF11B4" w:rsidRDefault="00360ED9" w:rsidP="00360ED9">
      <w:pPr>
        <w:ind w:firstLine="709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de acuerdo </w:t>
      </w:r>
      <w:r w:rsidR="000A148D">
        <w:rPr>
          <w:rFonts w:ascii="Arial" w:hAnsi="Arial" w:cs="Arial"/>
          <w:snapToGrid/>
          <w:sz w:val="24"/>
          <w:szCs w:val="24"/>
          <w:lang w:val="es-AR" w:eastAsia="es-AR"/>
        </w:rPr>
        <w:t xml:space="preserve">a las bases de la convocatoria y  a fin de que la </w:t>
      </w:r>
      <w:r w:rsidR="000A148D"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Agencia </w:t>
      </w:r>
      <w:r w:rsidR="000A148D"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Agencia Nacional de Promoción Científica Tecnológica </w:t>
      </w:r>
      <w:r w:rsidR="000A148D">
        <w:rPr>
          <w:rFonts w:ascii="Arial" w:hAnsi="Arial" w:cs="Arial"/>
          <w:snapToGrid/>
          <w:sz w:val="24"/>
          <w:szCs w:val="24"/>
          <w:lang w:val="es-AR" w:eastAsia="es-AR"/>
        </w:rPr>
        <w:t xml:space="preserve">cada desembolso la Institución Beneficiaria deberá certificar el cumplimiento de las actividades previstas en los Planes de Trabajo de cada uno de sus becarios a fin </w:t>
      </w: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 xml:space="preserve">la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situación </w:t>
      </w:r>
      <w:r w:rsidRPr="00AF11B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a fin de </w:t>
      </w:r>
      <w:r>
        <w:rPr>
          <w:rFonts w:ascii="Arial" w:hAnsi="Arial" w:cs="Arial"/>
          <w:bCs/>
          <w:snapToGrid/>
          <w:sz w:val="24"/>
          <w:szCs w:val="24"/>
          <w:lang w:val="es-AR" w:eastAsia="en-US"/>
        </w:rPr>
        <w:t>proceder al pago del último</w:t>
      </w:r>
      <w:r w:rsidRPr="00AF11B4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 desembolso </w:t>
      </w:r>
      <w:r>
        <w:rPr>
          <w:rFonts w:ascii="Arial" w:hAnsi="Arial" w:cs="Arial"/>
          <w:bCs/>
          <w:snapToGrid/>
          <w:sz w:val="24"/>
          <w:szCs w:val="24"/>
          <w:lang w:val="es-AR" w:eastAsia="en-US"/>
        </w:rPr>
        <w:t>correspondiente al año 2014 del</w:t>
      </w:r>
      <w:r w:rsidRPr="00AF11B4">
        <w:rPr>
          <w:rFonts w:ascii="Arial" w:hAnsi="Arial" w:cs="Arial"/>
          <w:bCs/>
          <w:snapToGrid/>
          <w:sz w:val="24"/>
          <w:szCs w:val="24"/>
          <w:lang w:val="es-AR" w:eastAsia="en-US"/>
        </w:rPr>
        <w:t xml:space="preserve"> Proyecto Becas Tics 2011</w:t>
      </w: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;</w:t>
      </w:r>
    </w:p>
    <w:p w:rsidR="00360ED9" w:rsidRPr="00AF11B4" w:rsidRDefault="00360ED9" w:rsidP="00360ED9">
      <w:pPr>
        <w:ind w:firstLine="709"/>
        <w:rPr>
          <w:snapToGrid/>
          <w:sz w:val="24"/>
          <w:szCs w:val="24"/>
          <w:lang w:val="es-AR" w:eastAsia="es-AR"/>
        </w:rPr>
      </w:pPr>
    </w:p>
    <w:p w:rsidR="00386965" w:rsidRPr="00AF11B4" w:rsidRDefault="00386965" w:rsidP="00386965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>El informe elevado por los Tutores en relación al</w:t>
      </w:r>
      <w:r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cumplimiento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 y finalización</w:t>
      </w:r>
      <w:r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de las actividades previstas en los Planes de Trabajo de cada uno de sus becarios; </w:t>
      </w:r>
    </w:p>
    <w:p w:rsidR="00AF11B4" w:rsidRPr="00AF11B4" w:rsidRDefault="00AF11B4" w:rsidP="00AF11B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AF11B4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ELLO:</w:t>
      </w: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</w:r>
    </w:p>
    <w:p w:rsidR="00AF11B4" w:rsidRPr="00AF11B4" w:rsidRDefault="00AF11B4" w:rsidP="00AF11B4">
      <w:pPr>
        <w:autoSpaceDE w:val="0"/>
        <w:autoSpaceDN w:val="0"/>
        <w:rPr>
          <w:rFonts w:ascii="Arial" w:hAnsi="Arial" w:cs="Arial"/>
          <w:snapToGrid/>
          <w:sz w:val="24"/>
          <w:szCs w:val="24"/>
          <w:lang w:val="es-E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  <w:t xml:space="preserve">El Consejo Departamental de Ciencias e Ingeniería de la Computación en su reunión de fecha </w:t>
      </w:r>
      <w:r w:rsidR="00C212E7" w:rsidRPr="00C212E7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14 de julio de 2015 </w:t>
      </w:r>
      <w:r w:rsidR="00A158E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unanimidad</w:t>
      </w: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AF11B4" w:rsidRPr="00AF11B4" w:rsidRDefault="00AF11B4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AF11B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R E S U E L V E :</w:t>
      </w:r>
    </w:p>
    <w:p w:rsidR="00AF11B4" w:rsidRPr="00AF11B4" w:rsidRDefault="00AF11B4" w:rsidP="00AF11B4">
      <w:pPr>
        <w:tabs>
          <w:tab w:val="left" w:pos="993"/>
        </w:tabs>
        <w:autoSpaceDE w:val="0"/>
        <w:autoSpaceDN w:val="0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F11B4" w:rsidRDefault="00AF11B4" w:rsidP="00AF11B4">
      <w:pPr>
        <w:autoSpaceDE w:val="0"/>
        <w:autoSpaceDN w:val="0"/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Art. 1</w:t>
      </w:r>
      <w:r w:rsidRPr="00AF11B4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).- </w:t>
      </w:r>
      <w:r w:rsidRPr="00AF11B4">
        <w:rPr>
          <w:rFonts w:ascii="Arial" w:hAnsi="Arial" w:cs="Arial"/>
          <w:bCs/>
          <w:snapToGrid/>
          <w:sz w:val="24"/>
          <w:szCs w:val="24"/>
          <w:lang w:val="es-ES" w:eastAsia="en-US"/>
        </w:rPr>
        <w:t>Elevar a la Agencia Nacional de Promoción Científica Tecnológica la nómina de alumnos beneficiarios de</w:t>
      </w:r>
      <w:r w:rsidR="00A77295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la Adenda</w:t>
      </w:r>
      <w:r w:rsidRPr="00AF11B4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Becas Tics 2011 que han cumplido </w:t>
      </w:r>
      <w:r w:rsidR="00720136">
        <w:rPr>
          <w:rFonts w:ascii="Arial" w:hAnsi="Arial" w:cs="Arial"/>
          <w:bCs/>
          <w:snapToGrid/>
          <w:sz w:val="24"/>
          <w:szCs w:val="24"/>
          <w:lang w:val="es-ES" w:eastAsia="en-US"/>
        </w:rPr>
        <w:t>con la totalidad d</w:t>
      </w:r>
      <w:r w:rsidRPr="00AF11B4">
        <w:rPr>
          <w:rFonts w:ascii="Arial" w:hAnsi="Arial" w:cs="Arial"/>
          <w:bCs/>
          <w:snapToGrid/>
          <w:sz w:val="24"/>
          <w:szCs w:val="24"/>
          <w:lang w:val="es-ES" w:eastAsia="en-US"/>
        </w:rPr>
        <w:t>el cronograma de actividades previstas en su P</w:t>
      </w:r>
      <w:r w:rsidR="00A77295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lan de Trabajo: </w:t>
      </w:r>
    </w:p>
    <w:p w:rsidR="00386965" w:rsidRDefault="00386965" w:rsidP="00AF11B4">
      <w:pPr>
        <w:autoSpaceDE w:val="0"/>
        <w:autoSpaceDN w:val="0"/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386965" w:rsidRPr="00AF11B4" w:rsidRDefault="00386965" w:rsidP="00AF11B4">
      <w:pPr>
        <w:autoSpaceDE w:val="0"/>
        <w:autoSpaceDN w:val="0"/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AR" w:eastAsia="en-US"/>
        </w:rPr>
      </w:pPr>
    </w:p>
    <w:p w:rsidR="00360ED9" w:rsidRDefault="00360ED9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AF11B4" w:rsidRPr="00C212E7" w:rsidRDefault="00C212E7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C212E7">
        <w:rPr>
          <w:rFonts w:ascii="Arial" w:hAnsi="Arial" w:cs="Arial"/>
          <w:b/>
          <w:snapToGrid/>
          <w:sz w:val="24"/>
          <w:szCs w:val="24"/>
          <w:lang w:val="es-AR" w:eastAsia="en-US"/>
        </w:rPr>
        <w:t>///CDCIC-140</w:t>
      </w:r>
      <w:r w:rsidR="00386965" w:rsidRPr="00C212E7">
        <w:rPr>
          <w:rFonts w:ascii="Arial" w:hAnsi="Arial" w:cs="Arial"/>
          <w:b/>
          <w:snapToGrid/>
          <w:sz w:val="24"/>
          <w:szCs w:val="24"/>
          <w:lang w:val="es-AR" w:eastAsia="en-US"/>
        </w:rPr>
        <w:t>/15</w:t>
      </w:r>
    </w:p>
    <w:p w:rsidR="00386965" w:rsidRPr="00AF11B4" w:rsidRDefault="00386965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985"/>
        <w:gridCol w:w="1857"/>
        <w:gridCol w:w="1142"/>
      </w:tblGrid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noWrap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857" w:type="dxa"/>
            <w:shd w:val="clear" w:color="auto" w:fill="auto"/>
            <w:noWrap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142" w:type="dxa"/>
            <w:shd w:val="clear" w:color="auto" w:fill="auto"/>
            <w:noWrap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Bernardo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SANGUINETTI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35873309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Default="00A77295" w:rsidP="00386965"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Federico Rodrigo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JASSON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36158558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Default="00A77295" w:rsidP="00386965"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Lucas Alfredo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ÁLVAREZ LACASA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35776168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Default="00A77295" w:rsidP="00386965"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 Omar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DIAZ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35775494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Luis Alfredo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FABIANI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34540628</w:t>
            </w:r>
          </w:p>
        </w:tc>
      </w:tr>
      <w:tr w:rsidR="00A77295" w:rsidRPr="00A7400A" w:rsidTr="00386965">
        <w:trPr>
          <w:trHeight w:val="300"/>
          <w:jc w:val="center"/>
        </w:trPr>
        <w:tc>
          <w:tcPr>
            <w:tcW w:w="3369" w:type="dxa"/>
            <w:shd w:val="clear" w:color="auto" w:fill="auto"/>
            <w:hideMark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Manuel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TRIPPEL NAGEL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35034369</w:t>
            </w:r>
          </w:p>
        </w:tc>
      </w:tr>
      <w:tr w:rsidR="00A77295" w:rsidTr="00386965">
        <w:trPr>
          <w:jc w:val="center"/>
        </w:trPr>
        <w:tc>
          <w:tcPr>
            <w:tcW w:w="3369" w:type="dxa"/>
            <w:shd w:val="clear" w:color="auto" w:fill="auto"/>
          </w:tcPr>
          <w:p w:rsidR="00A77295" w:rsidRPr="00386965" w:rsidRDefault="00A77295" w:rsidP="00386965">
            <w:pPr>
              <w:rPr>
                <w:sz w:val="24"/>
                <w:lang w:val="es-AR"/>
              </w:rPr>
            </w:pPr>
            <w:r w:rsidRPr="0038696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Ciencias de la Computación</w:t>
            </w:r>
          </w:p>
        </w:tc>
        <w:tc>
          <w:tcPr>
            <w:tcW w:w="1985" w:type="dxa"/>
            <w:shd w:val="clear" w:color="auto" w:fill="auto"/>
          </w:tcPr>
          <w:p w:rsidR="00A77295" w:rsidRPr="00386965" w:rsidRDefault="00A77295" w:rsidP="00386965">
            <w:pPr>
              <w:jc w:val="both"/>
              <w:rPr>
                <w:rFonts w:ascii="Calibri" w:hAnsi="Calibri"/>
                <w:sz w:val="22"/>
                <w:szCs w:val="22"/>
                <w:lang w:val="es-AR"/>
              </w:rPr>
            </w:pPr>
            <w:r w:rsidRPr="00386965">
              <w:rPr>
                <w:rFonts w:ascii="Calibri" w:hAnsi="Calibri"/>
                <w:sz w:val="22"/>
                <w:szCs w:val="22"/>
                <w:lang w:val="es-AR"/>
              </w:rPr>
              <w:t>Daniela</w:t>
            </w:r>
          </w:p>
        </w:tc>
        <w:tc>
          <w:tcPr>
            <w:tcW w:w="1857" w:type="dxa"/>
            <w:shd w:val="clear" w:color="auto" w:fill="auto"/>
          </w:tcPr>
          <w:p w:rsidR="00A77295" w:rsidRPr="00386965" w:rsidRDefault="00A77295" w:rsidP="00386965">
            <w:pPr>
              <w:jc w:val="both"/>
              <w:rPr>
                <w:rFonts w:ascii="Calibri" w:hAnsi="Calibri"/>
                <w:sz w:val="22"/>
                <w:szCs w:val="22"/>
                <w:lang w:val="es-AR"/>
              </w:rPr>
            </w:pPr>
            <w:r w:rsidRPr="00386965">
              <w:rPr>
                <w:rFonts w:ascii="Calibri" w:hAnsi="Calibri"/>
                <w:sz w:val="22"/>
                <w:szCs w:val="22"/>
                <w:lang w:val="es-AR"/>
              </w:rPr>
              <w:t>DUARTE</w:t>
            </w:r>
          </w:p>
        </w:tc>
        <w:tc>
          <w:tcPr>
            <w:tcW w:w="1142" w:type="dxa"/>
            <w:shd w:val="clear" w:color="auto" w:fill="auto"/>
          </w:tcPr>
          <w:p w:rsidR="00A77295" w:rsidRPr="00386965" w:rsidRDefault="00A77295" w:rsidP="00386965">
            <w:pPr>
              <w:ind w:left="106" w:hanging="106"/>
              <w:jc w:val="center"/>
              <w:rPr>
                <w:rFonts w:ascii="Calibri" w:hAnsi="Calibri"/>
                <w:sz w:val="22"/>
                <w:szCs w:val="22"/>
                <w:lang w:val="es-AR"/>
              </w:rPr>
            </w:pPr>
            <w:r w:rsidRPr="00386965">
              <w:rPr>
                <w:rFonts w:ascii="Calibri" w:hAnsi="Calibri"/>
                <w:sz w:val="22"/>
                <w:szCs w:val="22"/>
                <w:lang w:val="es-AR"/>
              </w:rPr>
              <w:t>31511314</w:t>
            </w:r>
          </w:p>
        </w:tc>
      </w:tr>
    </w:tbl>
    <w:p w:rsidR="00A82F86" w:rsidRDefault="00A82F86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C622D2" w:rsidRDefault="00C622D2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FC334C" w:rsidRPr="00FC334C" w:rsidRDefault="00FC334C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Art. 2º</w:t>
      </w:r>
      <w:r w:rsidRPr="00FC334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FC334C">
        <w:rPr>
          <w:rFonts w:ascii="Arial" w:hAnsi="Arial" w:cs="Arial"/>
          <w:snapToGrid/>
          <w:sz w:val="24"/>
          <w:szCs w:val="24"/>
          <w:lang w:val="es-AR" w:eastAsia="en-US"/>
        </w:rPr>
        <w:t>. -</w:t>
      </w: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 </w:t>
      </w:r>
      <w:r w:rsidR="0074538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Avalar el pago </w:t>
      </w:r>
      <w:r w:rsidR="00745383"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>del último desemb</w:t>
      </w:r>
      <w:r w:rsidR="00A77295">
        <w:rPr>
          <w:rFonts w:ascii="Arial" w:hAnsi="Arial" w:cs="Arial"/>
          <w:snapToGrid/>
          <w:sz w:val="24"/>
          <w:szCs w:val="24"/>
          <w:lang w:val="es-ES_tradnl" w:eastAsia="en-US"/>
        </w:rPr>
        <w:t>olso correspondiente al año 2014</w:t>
      </w:r>
      <w:r w:rsidR="00745383"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del programa Becas Tics 2011</w:t>
      </w:r>
      <w:r w:rsidR="0074538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</w:t>
      </w:r>
      <w:r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los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alumnos que figuran en el Art.</w:t>
      </w:r>
      <w:r w:rsidR="00522BA4">
        <w:rPr>
          <w:rFonts w:ascii="Arial" w:hAnsi="Arial" w:cs="Arial"/>
          <w:snapToGrid/>
          <w:sz w:val="24"/>
          <w:szCs w:val="24"/>
          <w:lang w:val="es-ES_tradnl" w:eastAsia="en-US"/>
        </w:rPr>
        <w:t>1º de la presente resolución.</w:t>
      </w:r>
      <w:r w:rsidRPr="00FC334C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-</w:t>
      </w:r>
    </w:p>
    <w:p w:rsidR="00F77453" w:rsidRDefault="00F77453" w:rsidP="00AF11B4">
      <w:pPr>
        <w:autoSpaceDE w:val="0"/>
        <w:autoSpaceDN w:val="0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AF11B4" w:rsidRPr="00AF11B4" w:rsidRDefault="00FC334C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Art. 3</w:t>
      </w:r>
      <w:r w:rsidR="00AF11B4" w:rsidRPr="00AF11B4">
        <w:rPr>
          <w:rFonts w:ascii="Arial" w:hAnsi="Arial" w:cs="Arial"/>
          <w:b/>
          <w:snapToGrid/>
          <w:sz w:val="24"/>
          <w:szCs w:val="24"/>
          <w:lang w:val="es-AR" w:eastAsia="en-US"/>
        </w:rPr>
        <w:t>º)</w:t>
      </w:r>
      <w:r w:rsidR="00AF11B4" w:rsidRPr="00AF11B4">
        <w:rPr>
          <w:rFonts w:ascii="Arial" w:hAnsi="Arial" w:cs="Arial"/>
          <w:snapToGrid/>
          <w:sz w:val="24"/>
          <w:szCs w:val="24"/>
          <w:lang w:val="es-AR" w:eastAsia="en-US"/>
        </w:rPr>
        <w:t>.-</w:t>
      </w:r>
      <w:r w:rsidR="00AF11B4" w:rsidRPr="00AF11B4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  <w:r w:rsidR="00AF11B4" w:rsidRPr="00AF11B4">
        <w:rPr>
          <w:rFonts w:ascii="Arial" w:hAnsi="Arial" w:cs="Arial"/>
          <w:snapToGrid/>
          <w:sz w:val="24"/>
          <w:szCs w:val="24"/>
          <w:lang w:val="es-ES_tradnl" w:eastAsia="en-US"/>
        </w:rPr>
        <w:t>Regístrese; comuníquese; pase a la Secretaría General Académica a los fines que correspondan; tome conocimiento la Secretaría General de Bienestar Estudiantil Universitario; cumplido, archívese.----------------------------------------------------------------------</w:t>
      </w:r>
    </w:p>
    <w:p w:rsidR="00AF11B4" w:rsidRPr="00AF11B4" w:rsidRDefault="00AF11B4" w:rsidP="00AF11B4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60EC6">
      <w:pPr>
        <w:autoSpaceDE w:val="0"/>
        <w:autoSpaceDN w:val="0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F11B4" w:rsidRPr="00AF11B4" w:rsidRDefault="00AF11B4" w:rsidP="00AF11B4">
      <w:pPr>
        <w:autoSpaceDE w:val="0"/>
        <w:autoSpaceDN w:val="0"/>
        <w:jc w:val="center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5F1B0E" w:rsidRDefault="005F1B0E" w:rsidP="00AF11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A148D"/>
    <w:rsid w:val="0016514A"/>
    <w:rsid w:val="00194036"/>
    <w:rsid w:val="001F3DBD"/>
    <w:rsid w:val="001F4952"/>
    <w:rsid w:val="00252101"/>
    <w:rsid w:val="0029482E"/>
    <w:rsid w:val="002B2E4F"/>
    <w:rsid w:val="0030648A"/>
    <w:rsid w:val="00317DDE"/>
    <w:rsid w:val="00325D05"/>
    <w:rsid w:val="00360ED9"/>
    <w:rsid w:val="00373B50"/>
    <w:rsid w:val="00386965"/>
    <w:rsid w:val="0039653B"/>
    <w:rsid w:val="003A3F28"/>
    <w:rsid w:val="003C5D84"/>
    <w:rsid w:val="00427C9D"/>
    <w:rsid w:val="004B759E"/>
    <w:rsid w:val="004C0C8F"/>
    <w:rsid w:val="004C7022"/>
    <w:rsid w:val="004F49C1"/>
    <w:rsid w:val="00522BA4"/>
    <w:rsid w:val="0055010D"/>
    <w:rsid w:val="0056001E"/>
    <w:rsid w:val="00580A76"/>
    <w:rsid w:val="005F1B0E"/>
    <w:rsid w:val="00652C10"/>
    <w:rsid w:val="00720136"/>
    <w:rsid w:val="00745383"/>
    <w:rsid w:val="007529BD"/>
    <w:rsid w:val="00757863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158E0"/>
    <w:rsid w:val="00A47E93"/>
    <w:rsid w:val="00A55971"/>
    <w:rsid w:val="00A60EC6"/>
    <w:rsid w:val="00A66FBE"/>
    <w:rsid w:val="00A77295"/>
    <w:rsid w:val="00A82F86"/>
    <w:rsid w:val="00AA26EA"/>
    <w:rsid w:val="00AF11B4"/>
    <w:rsid w:val="00AF71E7"/>
    <w:rsid w:val="00B66C7B"/>
    <w:rsid w:val="00BA2052"/>
    <w:rsid w:val="00BD39F5"/>
    <w:rsid w:val="00BE3110"/>
    <w:rsid w:val="00BE50F5"/>
    <w:rsid w:val="00C02C9E"/>
    <w:rsid w:val="00C212E7"/>
    <w:rsid w:val="00C622D2"/>
    <w:rsid w:val="00CE1537"/>
    <w:rsid w:val="00D605ED"/>
    <w:rsid w:val="00D8788B"/>
    <w:rsid w:val="00DB066B"/>
    <w:rsid w:val="00DB245D"/>
    <w:rsid w:val="00E110C2"/>
    <w:rsid w:val="00EA730E"/>
    <w:rsid w:val="00EC20E2"/>
    <w:rsid w:val="00EF2044"/>
    <w:rsid w:val="00F110F0"/>
    <w:rsid w:val="00F6428F"/>
    <w:rsid w:val="00F77453"/>
    <w:rsid w:val="00FA334D"/>
    <w:rsid w:val="00FA34AA"/>
    <w:rsid w:val="00FC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table" w:styleId="Tablaconcuadrcula">
    <w:name w:val="Table Grid"/>
    <w:basedOn w:val="Tablanormal"/>
    <w:rsid w:val="00A77295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2015-04-06T17:55:00Z</cp:lastPrinted>
  <dcterms:created xsi:type="dcterms:W3CDTF">2025-07-06T18:09:00Z</dcterms:created>
  <dcterms:modified xsi:type="dcterms:W3CDTF">2025-07-06T18:09:00Z</dcterms:modified>
</cp:coreProperties>
</file>