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D7F80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D6BAF">
        <w:rPr>
          <w:color w:val="000000"/>
          <w:lang w:val="es-ES"/>
        </w:rPr>
        <w:t>159</w:t>
      </w:r>
      <w:r w:rsidR="0014123D">
        <w:rPr>
          <w:color w:val="000000"/>
          <w:lang w:val="es-ES"/>
        </w:rPr>
        <w:t>/</w:t>
      </w:r>
      <w:r w:rsidR="00B207D4">
        <w:rPr>
          <w:color w:val="000000"/>
          <w:lang w:val="es-ES"/>
        </w:rPr>
        <w:t>1</w:t>
      </w:r>
      <w:r w:rsidR="00BD6BAF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EA3A0B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</w:t>
      </w:r>
      <w:r w:rsidRPr="00E405C3">
        <w:rPr>
          <w:rFonts w:ascii="Arial" w:hAnsi="Arial"/>
          <w:color w:val="000000"/>
          <w:sz w:val="24"/>
        </w:rPr>
        <w:t>l </w:t>
      </w:r>
      <w:r w:rsidRPr="00E405C3">
        <w:rPr>
          <w:rFonts w:ascii="Arial" w:hAnsi="Arial"/>
          <w:b/>
          <w:bCs/>
          <w:color w:val="000000"/>
          <w:sz w:val="24"/>
        </w:rPr>
        <w:t>“Programa de Equipamiento para Universidades”</w:t>
      </w:r>
      <w:r>
        <w:rPr>
          <w:rFonts w:ascii="Arial" w:hAnsi="Arial"/>
          <w:color w:val="000000"/>
          <w:sz w:val="24"/>
        </w:rPr>
        <w:t xml:space="preserve"> </w:t>
      </w:r>
      <w:r w:rsidR="00B02F27">
        <w:rPr>
          <w:rFonts w:ascii="Arial" w:hAnsi="Arial"/>
          <w:color w:val="000000"/>
          <w:sz w:val="24"/>
        </w:rPr>
        <w:t>llevado a cabo en el</w:t>
      </w:r>
      <w:r>
        <w:rPr>
          <w:rFonts w:ascii="Arial" w:hAnsi="Arial"/>
          <w:color w:val="000000"/>
          <w:sz w:val="24"/>
        </w:rPr>
        <w:t xml:space="preserve"> marco del</w:t>
      </w:r>
      <w:r w:rsidR="00E405C3" w:rsidRPr="00E405C3">
        <w:rPr>
          <w:rFonts w:ascii="Arial" w:hAnsi="Arial"/>
          <w:color w:val="000000"/>
          <w:sz w:val="24"/>
        </w:rPr>
        <w:t xml:space="preserve"> </w:t>
      </w:r>
      <w:r w:rsidR="00E405C3">
        <w:rPr>
          <w:rFonts w:ascii="Arial" w:hAnsi="Arial"/>
          <w:color w:val="000000"/>
          <w:sz w:val="24"/>
        </w:rPr>
        <w:t>Simposio Argentino de Sistemas Embebidos (</w:t>
      </w:r>
      <w:r w:rsidR="00E405C3" w:rsidRPr="00E405C3">
        <w:rPr>
          <w:rFonts w:ascii="Arial" w:hAnsi="Arial"/>
          <w:b/>
          <w:bCs/>
          <w:color w:val="000000"/>
          <w:sz w:val="24"/>
        </w:rPr>
        <w:t>SASE 2014</w:t>
      </w:r>
      <w:r w:rsidR="00E405C3">
        <w:rPr>
          <w:rFonts w:ascii="Arial" w:hAnsi="Arial"/>
          <w:b/>
          <w:bCs/>
          <w:color w:val="000000"/>
          <w:sz w:val="24"/>
        </w:rPr>
        <w:t>)</w:t>
      </w:r>
      <w:r w:rsidR="00E405C3" w:rsidRPr="00E405C3">
        <w:rPr>
          <w:rFonts w:ascii="Arial" w:hAnsi="Arial"/>
          <w:color w:val="000000"/>
          <w:sz w:val="24"/>
        </w:rPr>
        <w:t xml:space="preserve"> </w:t>
      </w:r>
      <w:r w:rsidR="00B02F27">
        <w:rPr>
          <w:rFonts w:ascii="Arial" w:hAnsi="Arial"/>
          <w:color w:val="000000"/>
          <w:sz w:val="24"/>
        </w:rPr>
        <w:t xml:space="preserve">que se desarrolló </w:t>
      </w:r>
      <w:r>
        <w:rPr>
          <w:rFonts w:ascii="Arial" w:hAnsi="Arial"/>
          <w:color w:val="000000"/>
          <w:sz w:val="24"/>
        </w:rPr>
        <w:t xml:space="preserve"> entre </w:t>
      </w:r>
      <w:r w:rsidR="00E405C3" w:rsidRPr="00B02F27">
        <w:rPr>
          <w:rFonts w:ascii="Arial" w:hAnsi="Arial"/>
          <w:color w:val="000000"/>
          <w:sz w:val="24"/>
        </w:rPr>
        <w:t>el</w:t>
      </w:r>
      <w:r w:rsidR="00E405C3" w:rsidRPr="00B02F27">
        <w:rPr>
          <w:rFonts w:ascii="Arial" w:hAnsi="Arial"/>
          <w:bCs/>
          <w:color w:val="000000"/>
          <w:sz w:val="24"/>
        </w:rPr>
        <w:t xml:space="preserve"> 13 </w:t>
      </w:r>
      <w:r w:rsidRPr="00B02F27">
        <w:rPr>
          <w:rFonts w:ascii="Arial" w:hAnsi="Arial"/>
          <w:bCs/>
          <w:color w:val="000000"/>
          <w:sz w:val="24"/>
        </w:rPr>
        <w:t xml:space="preserve">y el </w:t>
      </w:r>
      <w:r w:rsidR="00E405C3" w:rsidRPr="00B02F27">
        <w:rPr>
          <w:rFonts w:ascii="Arial" w:hAnsi="Arial"/>
          <w:bCs/>
          <w:color w:val="000000"/>
          <w:sz w:val="24"/>
        </w:rPr>
        <w:t>15 de agosto</w:t>
      </w:r>
      <w:r w:rsidR="00E405C3" w:rsidRPr="00B02F27">
        <w:rPr>
          <w:rFonts w:ascii="Arial" w:hAnsi="Arial"/>
          <w:color w:val="000000"/>
          <w:sz w:val="24"/>
        </w:rPr>
        <w:t> de 2014</w:t>
      </w:r>
      <w:r w:rsidR="00E405C3">
        <w:rPr>
          <w:rFonts w:ascii="Arial" w:hAnsi="Arial"/>
          <w:color w:val="000000"/>
          <w:sz w:val="24"/>
        </w:rPr>
        <w:t xml:space="preserve"> </w:t>
      </w:r>
      <w:r w:rsidR="00E405C3" w:rsidRPr="00E405C3">
        <w:rPr>
          <w:rFonts w:ascii="Arial" w:hAnsi="Arial"/>
          <w:color w:val="000000"/>
          <w:sz w:val="24"/>
        </w:rPr>
        <w:t>en la Facultad de Ingeniería de la Universidad de Buenos Aires</w:t>
      </w:r>
      <w:r w:rsidR="00E405C3">
        <w:rPr>
          <w:rFonts w:ascii="Arial" w:hAnsi="Arial"/>
          <w:color w:val="000000"/>
          <w:sz w:val="24"/>
        </w:rPr>
        <w:t>; y</w:t>
      </w:r>
    </w:p>
    <w:p w:rsidR="00E405C3" w:rsidRDefault="00E405C3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14123D" w:rsidRDefault="00E405C3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E405C3" w:rsidRDefault="00E405C3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mismo </w:t>
      </w:r>
      <w:r w:rsidRPr="00E405C3">
        <w:rPr>
          <w:rFonts w:ascii="Arial" w:hAnsi="Arial"/>
          <w:color w:val="000000"/>
          <w:sz w:val="24"/>
        </w:rPr>
        <w:t xml:space="preserve">fue auspiciado por </w:t>
      </w:r>
      <w:r w:rsidR="00B02F27">
        <w:rPr>
          <w:rFonts w:ascii="Arial" w:hAnsi="Arial"/>
          <w:color w:val="000000"/>
          <w:sz w:val="24"/>
        </w:rPr>
        <w:t>una gran cantidad de</w:t>
      </w:r>
      <w:r w:rsidRPr="00E405C3">
        <w:rPr>
          <w:rFonts w:ascii="Arial" w:hAnsi="Arial"/>
          <w:color w:val="000000"/>
          <w:sz w:val="24"/>
        </w:rPr>
        <w:t xml:space="preserve"> empresas</w:t>
      </w:r>
      <w:r w:rsidR="00B02F27">
        <w:rPr>
          <w:rFonts w:ascii="Arial" w:hAnsi="Arial"/>
          <w:color w:val="000000"/>
          <w:sz w:val="24"/>
        </w:rPr>
        <w:t xml:space="preserve"> que</w:t>
      </w:r>
      <w:r w:rsidRPr="00E405C3">
        <w:rPr>
          <w:rFonts w:ascii="Arial" w:hAnsi="Arial"/>
          <w:color w:val="000000"/>
          <w:sz w:val="24"/>
        </w:rPr>
        <w:t xml:space="preserve"> realizaron donaciones de placas de desarrollo, órdenes de fabricación de PCBs, insumos, etc</w:t>
      </w:r>
      <w:r>
        <w:rPr>
          <w:rFonts w:ascii="Arial" w:hAnsi="Arial"/>
          <w:color w:val="000000"/>
          <w:sz w:val="24"/>
        </w:rPr>
        <w:t>., las cuales fueron</w:t>
      </w:r>
      <w:r w:rsidRPr="00E405C3">
        <w:rPr>
          <w:rFonts w:ascii="Arial" w:hAnsi="Arial"/>
          <w:color w:val="000000"/>
          <w:sz w:val="24"/>
        </w:rPr>
        <w:t xml:space="preserve"> canalizadas hacia </w:t>
      </w:r>
      <w:r>
        <w:rPr>
          <w:rFonts w:ascii="Arial" w:hAnsi="Arial"/>
          <w:color w:val="000000"/>
          <w:sz w:val="24"/>
        </w:rPr>
        <w:t>las universidades que participaron</w:t>
      </w:r>
      <w:r w:rsidRPr="00E405C3">
        <w:rPr>
          <w:rFonts w:ascii="Arial" w:hAnsi="Arial"/>
          <w:color w:val="000000"/>
          <w:sz w:val="24"/>
        </w:rPr>
        <w:t xml:space="preserve"> </w:t>
      </w:r>
      <w:r w:rsidR="00B02F27">
        <w:rPr>
          <w:rFonts w:ascii="Arial" w:hAnsi="Arial"/>
          <w:color w:val="000000"/>
          <w:sz w:val="24"/>
        </w:rPr>
        <w:t xml:space="preserve">de este evento; </w:t>
      </w:r>
    </w:p>
    <w:p w:rsidR="00E405C3" w:rsidRDefault="00E405C3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E405C3" w:rsidRDefault="00E405C3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Departamento de Ciencias e Ingeniería de la Computación </w:t>
      </w:r>
      <w:r w:rsidR="00B02F27">
        <w:rPr>
          <w:rFonts w:ascii="Arial" w:hAnsi="Arial"/>
          <w:color w:val="000000"/>
          <w:sz w:val="24"/>
        </w:rPr>
        <w:t xml:space="preserve">elevó una propuesta de uso dichos recursos y resultó beneficiaria </w:t>
      </w:r>
      <w:r w:rsidR="00EA3A0B">
        <w:rPr>
          <w:rFonts w:ascii="Arial" w:hAnsi="Arial"/>
          <w:color w:val="000000"/>
          <w:sz w:val="24"/>
        </w:rPr>
        <w:t xml:space="preserve">de la asignación de </w:t>
      </w:r>
      <w:r w:rsidR="00B02F27">
        <w:rPr>
          <w:rFonts w:ascii="Arial" w:hAnsi="Arial"/>
          <w:color w:val="000000"/>
          <w:sz w:val="24"/>
        </w:rPr>
        <w:t xml:space="preserve">placas electrónicas </w:t>
      </w:r>
      <w:r w:rsidRPr="00E405C3">
        <w:rPr>
          <w:rFonts w:ascii="Arial" w:hAnsi="Arial"/>
          <w:color w:val="000000"/>
          <w:sz w:val="24"/>
        </w:rPr>
        <w:t xml:space="preserve">para </w:t>
      </w:r>
      <w:r w:rsidR="00EA3A0B">
        <w:rPr>
          <w:rFonts w:ascii="Arial" w:hAnsi="Arial"/>
          <w:color w:val="000000"/>
          <w:sz w:val="24"/>
        </w:rPr>
        <w:t xml:space="preserve">el equipamiento de sus laboratorios, los cuales son utilizados en las clases prácticas de la asignatura “Sistemas Embebidos”; </w:t>
      </w:r>
    </w:p>
    <w:p w:rsidR="00EA3A0B" w:rsidRDefault="00EA3A0B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405C3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</w:t>
      </w:r>
      <w:r w:rsidR="00EA3A0B">
        <w:rPr>
          <w:rFonts w:ascii="Arial" w:hAnsi="Arial"/>
          <w:color w:val="000000"/>
          <w:sz w:val="24"/>
        </w:rPr>
        <w:t>a los Consejos</w:t>
      </w:r>
      <w:r>
        <w:rPr>
          <w:rFonts w:ascii="Arial" w:hAnsi="Arial"/>
          <w:color w:val="000000"/>
          <w:sz w:val="24"/>
        </w:rPr>
        <w:t xml:space="preserve">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D7F80">
      <w:pPr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  <w:r>
        <w:rPr>
          <w:rFonts w:ascii="Arial" w:hAnsi="Arial"/>
          <w:b/>
          <w:color w:val="000000"/>
          <w:sz w:val="24"/>
        </w:rPr>
        <w:tab/>
      </w:r>
    </w:p>
    <w:p w:rsidR="001D7F80" w:rsidRDefault="001D7F80" w:rsidP="001D7F80">
      <w:pPr>
        <w:rPr>
          <w:rFonts w:ascii="Arial" w:hAnsi="Arial" w:cs="Arial"/>
          <w:b/>
          <w:bCs/>
          <w:sz w:val="24"/>
          <w:lang w:val="es-ES_tradnl"/>
        </w:rPr>
      </w:pPr>
    </w:p>
    <w:p w:rsidR="001D7F80" w:rsidRDefault="001D7F80" w:rsidP="00F305F4">
      <w:pPr>
        <w:pStyle w:val="Textoindependiente2"/>
        <w:ind w:firstLine="720"/>
        <w:jc w:val="both"/>
      </w:pPr>
      <w:r>
        <w:t>El Consejo Departamental de Ciencias e Ingeniería de la Computación en su reu</w:t>
      </w:r>
      <w:r w:rsidR="00B207D4">
        <w:t xml:space="preserve">nión de fecha </w:t>
      </w:r>
      <w:r w:rsidR="00EA3A0B">
        <w:t>11 de agosto de 2015</w:t>
      </w:r>
    </w:p>
    <w:p w:rsidR="00DA7A31" w:rsidRPr="001D7F80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  <w:r w:rsidR="00B26451">
        <w:rPr>
          <w:rFonts w:ascii="Arial" w:hAnsi="Arial"/>
          <w:b/>
          <w:color w:val="000000"/>
          <w:sz w:val="24"/>
        </w:rPr>
        <w:t xml:space="preserve"> 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E829A3" w:rsidRDefault="0014123D">
      <w:pPr>
        <w:ind w:right="-29"/>
        <w:jc w:val="both"/>
        <w:rPr>
          <w:rFonts w:ascii="Arial" w:hAnsi="Arial"/>
          <w:bCs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</w:t>
      </w:r>
      <w:r w:rsidR="00F305F4">
        <w:rPr>
          <w:rFonts w:ascii="Arial" w:hAnsi="Arial"/>
          <w:color w:val="000000"/>
          <w:sz w:val="24"/>
        </w:rPr>
        <w:t>bienes de uso</w:t>
      </w:r>
      <w:r w:rsidR="00183BC9">
        <w:rPr>
          <w:rFonts w:ascii="Arial" w:hAnsi="Arial"/>
          <w:color w:val="000000"/>
          <w:sz w:val="24"/>
        </w:rPr>
        <w:t xml:space="preserve"> </w:t>
      </w:r>
      <w:r w:rsidR="002C799B">
        <w:rPr>
          <w:rFonts w:ascii="Arial" w:hAnsi="Arial"/>
          <w:color w:val="000000"/>
          <w:sz w:val="24"/>
        </w:rPr>
        <w:t xml:space="preserve">realizada </w:t>
      </w:r>
      <w:r w:rsidR="00E829A3">
        <w:rPr>
          <w:rFonts w:ascii="Arial" w:hAnsi="Arial"/>
          <w:color w:val="000000"/>
          <w:sz w:val="24"/>
        </w:rPr>
        <w:t>a través del</w:t>
      </w:r>
      <w:r w:rsidR="00EA3A0B">
        <w:rPr>
          <w:rFonts w:ascii="Arial" w:hAnsi="Arial"/>
          <w:color w:val="000000"/>
          <w:sz w:val="24"/>
        </w:rPr>
        <w:t xml:space="preserve"> </w:t>
      </w:r>
      <w:r w:rsidR="00EA3A0B" w:rsidRPr="00E405C3">
        <w:rPr>
          <w:rFonts w:ascii="Arial" w:hAnsi="Arial"/>
          <w:b/>
          <w:bCs/>
          <w:color w:val="000000"/>
          <w:sz w:val="24"/>
        </w:rPr>
        <w:t>“Programa de Equipamiento para Universidades”</w:t>
      </w:r>
      <w:r w:rsidR="00B26451">
        <w:rPr>
          <w:rFonts w:ascii="Arial" w:hAnsi="Arial"/>
          <w:color w:val="000000"/>
          <w:sz w:val="24"/>
        </w:rPr>
        <w:t xml:space="preserve"> </w:t>
      </w:r>
      <w:r w:rsidR="00E829A3">
        <w:rPr>
          <w:rFonts w:ascii="Arial" w:hAnsi="Arial"/>
          <w:color w:val="000000"/>
          <w:sz w:val="24"/>
        </w:rPr>
        <w:t>que se llevó a cabo en el marco de</w:t>
      </w:r>
      <w:r w:rsidR="002C799B">
        <w:rPr>
          <w:rFonts w:ascii="Arial" w:hAnsi="Arial"/>
          <w:color w:val="000000"/>
          <w:sz w:val="24"/>
        </w:rPr>
        <w:t>l</w:t>
      </w:r>
      <w:r w:rsidR="00B02F27" w:rsidRPr="00E405C3">
        <w:rPr>
          <w:rFonts w:ascii="Arial" w:hAnsi="Arial"/>
          <w:color w:val="000000"/>
          <w:sz w:val="24"/>
        </w:rPr>
        <w:t xml:space="preserve"> </w:t>
      </w:r>
      <w:r w:rsidR="00B02F27">
        <w:rPr>
          <w:rFonts w:ascii="Arial" w:hAnsi="Arial"/>
          <w:color w:val="000000"/>
          <w:sz w:val="24"/>
        </w:rPr>
        <w:t>Simposio Argentino de Sistemas Embebidos (</w:t>
      </w:r>
      <w:r w:rsidR="00B02F27" w:rsidRPr="00E405C3">
        <w:rPr>
          <w:rFonts w:ascii="Arial" w:hAnsi="Arial"/>
          <w:b/>
          <w:bCs/>
          <w:color w:val="000000"/>
          <w:sz w:val="24"/>
        </w:rPr>
        <w:t>SASE 2014</w:t>
      </w:r>
      <w:r w:rsidR="00E829A3">
        <w:rPr>
          <w:rFonts w:ascii="Arial" w:hAnsi="Arial"/>
          <w:b/>
          <w:bCs/>
          <w:color w:val="000000"/>
          <w:sz w:val="24"/>
        </w:rPr>
        <w:t xml:space="preserve">), </w:t>
      </w:r>
      <w:r w:rsidR="00E829A3" w:rsidRPr="00E829A3">
        <w:rPr>
          <w:rFonts w:ascii="Arial" w:hAnsi="Arial"/>
          <w:bCs/>
          <w:color w:val="000000"/>
          <w:sz w:val="24"/>
        </w:rPr>
        <w:t xml:space="preserve">que a continuación se detalla: </w:t>
      </w:r>
    </w:p>
    <w:p w:rsidR="00E829A3" w:rsidRDefault="00E829A3">
      <w:pPr>
        <w:ind w:right="-29"/>
        <w:jc w:val="both"/>
        <w:rPr>
          <w:rFonts w:ascii="Arial" w:hAnsi="Arial"/>
          <w:color w:val="000000"/>
          <w:sz w:val="24"/>
        </w:rPr>
      </w:pPr>
    </w:p>
    <w:p w:rsidR="001B2982" w:rsidRPr="00A115F2" w:rsidRDefault="00A115F2" w:rsidP="00636926">
      <w:pPr>
        <w:pStyle w:val="HTMLBody"/>
        <w:numPr>
          <w:ilvl w:val="0"/>
          <w:numId w:val="18"/>
        </w:numPr>
        <w:jc w:val="both"/>
        <w:rPr>
          <w:rFonts w:cs="Arial"/>
          <w:b/>
          <w:bCs/>
          <w:iCs/>
          <w:color w:val="000000"/>
          <w:sz w:val="24"/>
          <w:szCs w:val="18"/>
          <w:lang w:val="pt-BR"/>
        </w:rPr>
      </w:pPr>
      <w:r w:rsidRPr="00A115F2">
        <w:rPr>
          <w:rFonts w:cs="Arial"/>
          <w:b/>
          <w:color w:val="000000"/>
          <w:sz w:val="24"/>
          <w:szCs w:val="18"/>
          <w:lang w:val="es-ES"/>
        </w:rPr>
        <w:t xml:space="preserve">Tres (03) Atmel SAM D20 Xplained Pro Evaluation Kit. 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 xml:space="preserve">Nº Serie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1800003364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–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1800006904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–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1800003499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.  </w:t>
      </w:r>
      <w:r w:rsidR="00322365" w:rsidRPr="00A115F2">
        <w:rPr>
          <w:rFonts w:cs="Arial"/>
          <w:b/>
          <w:color w:val="000000"/>
          <w:sz w:val="24"/>
          <w:szCs w:val="18"/>
          <w:lang w:val="pt-BR"/>
        </w:rPr>
        <w:t xml:space="preserve">Costo $ 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>1.191,20</w:t>
      </w:r>
      <w:r w:rsidR="002C799B" w:rsidRPr="00A115F2">
        <w:rPr>
          <w:rFonts w:cs="Arial"/>
          <w:b/>
          <w:color w:val="000000"/>
          <w:sz w:val="24"/>
          <w:szCs w:val="18"/>
          <w:lang w:val="pt-BR"/>
        </w:rPr>
        <w:t>.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>-</w:t>
      </w:r>
    </w:p>
    <w:p w:rsidR="00A115F2" w:rsidRPr="00A115F2" w:rsidRDefault="00A115F2" w:rsidP="00A115F2">
      <w:pPr>
        <w:pStyle w:val="HTMLBody"/>
        <w:numPr>
          <w:ilvl w:val="0"/>
          <w:numId w:val="18"/>
        </w:numPr>
        <w:jc w:val="both"/>
        <w:rPr>
          <w:rFonts w:cs="Arial"/>
          <w:b/>
          <w:bCs/>
          <w:iCs/>
          <w:color w:val="000000"/>
          <w:sz w:val="24"/>
          <w:szCs w:val="18"/>
          <w:lang w:val="pt-BR"/>
        </w:rPr>
      </w:pPr>
      <w:r w:rsidRPr="00A115F2">
        <w:rPr>
          <w:rFonts w:cs="Arial"/>
          <w:b/>
          <w:color w:val="000000"/>
          <w:sz w:val="24"/>
          <w:szCs w:val="18"/>
          <w:lang w:val="es-ES"/>
        </w:rPr>
        <w:t xml:space="preserve">Tres (03) Atmel I/O1 Xplained Pro Extension Kit. 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 xml:space="preserve">Nº Serie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0200019561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–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0200019768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- 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0200018548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>. Costo $ 824,80.-</w:t>
      </w:r>
    </w:p>
    <w:p w:rsidR="00A115F2" w:rsidRPr="00A115F2" w:rsidRDefault="00A115F2" w:rsidP="00A115F2">
      <w:pPr>
        <w:pStyle w:val="HTMLBody"/>
        <w:numPr>
          <w:ilvl w:val="0"/>
          <w:numId w:val="18"/>
        </w:numPr>
        <w:jc w:val="both"/>
        <w:rPr>
          <w:rFonts w:cs="Arial"/>
          <w:b/>
          <w:bCs/>
          <w:iCs/>
          <w:color w:val="000000"/>
          <w:sz w:val="24"/>
          <w:szCs w:val="18"/>
          <w:lang w:val="pt-BR"/>
        </w:rPr>
      </w:pPr>
      <w:r w:rsidRPr="00A115F2">
        <w:rPr>
          <w:rFonts w:cs="Arial"/>
          <w:b/>
          <w:color w:val="000000"/>
          <w:sz w:val="24"/>
          <w:szCs w:val="18"/>
          <w:lang w:val="es-ES"/>
        </w:rPr>
        <w:t xml:space="preserve">Tres (03) Atmel OLED1 Xplained Pro Extension Kit. 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 xml:space="preserve">Nº Serie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0200018126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–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0200009694</w:t>
      </w:r>
      <w:r w:rsidR="00A966AA"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="00A966AA" w:rsidRPr="00A966AA">
        <w:rPr>
          <w:rFonts w:cs="Arial"/>
          <w:b/>
          <w:color w:val="000000"/>
          <w:sz w:val="24"/>
          <w:szCs w:val="18"/>
          <w:lang w:val="es-ES"/>
        </w:rPr>
        <w:t>0200017511</w:t>
      </w:r>
      <w:r w:rsidRPr="00A115F2">
        <w:rPr>
          <w:rFonts w:cs="Arial"/>
          <w:b/>
          <w:color w:val="000000"/>
          <w:sz w:val="24"/>
          <w:szCs w:val="18"/>
          <w:lang w:val="pt-BR"/>
        </w:rPr>
        <w:t>. Costo $ 672,00.-</w:t>
      </w:r>
    </w:p>
    <w:p w:rsidR="007D10AC" w:rsidRPr="00256A63" w:rsidRDefault="007D10AC" w:rsidP="002C799B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pt-BR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56A63">
        <w:rPr>
          <w:rFonts w:ascii="Arial" w:hAnsi="Arial"/>
          <w:b/>
          <w:color w:val="000000"/>
          <w:sz w:val="24"/>
          <w:lang w:val="pt-BR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56A63">
        <w:rPr>
          <w:rFonts w:ascii="Arial" w:hAnsi="Arial"/>
          <w:b/>
          <w:color w:val="000000"/>
          <w:sz w:val="24"/>
          <w:lang w:val="pt-BR"/>
        </w:rPr>
        <w:t>)</w:t>
      </w:r>
      <w:r w:rsidRPr="00256A63">
        <w:rPr>
          <w:rFonts w:ascii="Arial" w:hAnsi="Arial"/>
          <w:color w:val="000000"/>
          <w:sz w:val="24"/>
          <w:lang w:val="pt-BR"/>
        </w:rPr>
        <w:t>.- I</w:t>
      </w:r>
      <w:r w:rsidRPr="00322365">
        <w:rPr>
          <w:rFonts w:ascii="Arial" w:hAnsi="Arial"/>
          <w:color w:val="000000"/>
          <w:sz w:val="24"/>
        </w:rPr>
        <w:t>nc</w:t>
      </w:r>
      <w:r>
        <w:rPr>
          <w:rFonts w:ascii="Arial" w:hAnsi="Arial"/>
          <w:color w:val="000000"/>
          <w:sz w:val="24"/>
        </w:rPr>
        <w:t>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183BC9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 xml:space="preserve">pase a la Dirección General de Economía y Finanzas </w:t>
      </w:r>
      <w:r w:rsidR="00AA672C">
        <w:rPr>
          <w:rFonts w:ascii="Arial" w:hAnsi="Arial"/>
          <w:color w:val="000000"/>
          <w:sz w:val="24"/>
        </w:rPr>
        <w:t xml:space="preserve">(Dirección Área Contable y Patrimonial) </w:t>
      </w:r>
      <w:r w:rsidR="00EF3714">
        <w:rPr>
          <w:rFonts w:ascii="Arial" w:hAnsi="Arial"/>
          <w:color w:val="000000"/>
          <w:sz w:val="24"/>
        </w:rPr>
        <w:t>a los fines que corresponda; vuelva al Departamento de Ciencias e Ingeniería de la Computación; cumplido, archívese.</w:t>
      </w:r>
      <w:r w:rsidR="00AA672C">
        <w:rPr>
          <w:rFonts w:ascii="Arial" w:hAnsi="Arial"/>
          <w:color w:val="000000"/>
          <w:sz w:val="24"/>
        </w:rPr>
        <w:t>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F4C"/>
    <w:rsid w:val="00070976"/>
    <w:rsid w:val="000D3351"/>
    <w:rsid w:val="000D6DD4"/>
    <w:rsid w:val="0014123D"/>
    <w:rsid w:val="0015181C"/>
    <w:rsid w:val="001727E4"/>
    <w:rsid w:val="00183BC9"/>
    <w:rsid w:val="001B2982"/>
    <w:rsid w:val="001D7F80"/>
    <w:rsid w:val="001F1E66"/>
    <w:rsid w:val="0020282A"/>
    <w:rsid w:val="00256A63"/>
    <w:rsid w:val="002C799B"/>
    <w:rsid w:val="00322365"/>
    <w:rsid w:val="003556AC"/>
    <w:rsid w:val="003C1741"/>
    <w:rsid w:val="004D0F0F"/>
    <w:rsid w:val="00576E3A"/>
    <w:rsid w:val="005E24C3"/>
    <w:rsid w:val="006175A9"/>
    <w:rsid w:val="00636926"/>
    <w:rsid w:val="006508EE"/>
    <w:rsid w:val="006723C0"/>
    <w:rsid w:val="006C2427"/>
    <w:rsid w:val="006E23D2"/>
    <w:rsid w:val="00734F37"/>
    <w:rsid w:val="00772346"/>
    <w:rsid w:val="007D10AC"/>
    <w:rsid w:val="008724F8"/>
    <w:rsid w:val="008A4C2F"/>
    <w:rsid w:val="008E1D23"/>
    <w:rsid w:val="008F09BA"/>
    <w:rsid w:val="00901DB6"/>
    <w:rsid w:val="00916972"/>
    <w:rsid w:val="00957F6C"/>
    <w:rsid w:val="009E65B3"/>
    <w:rsid w:val="00A115F2"/>
    <w:rsid w:val="00A36CD2"/>
    <w:rsid w:val="00A47978"/>
    <w:rsid w:val="00A966AA"/>
    <w:rsid w:val="00AA672C"/>
    <w:rsid w:val="00B02F27"/>
    <w:rsid w:val="00B207D4"/>
    <w:rsid w:val="00B21734"/>
    <w:rsid w:val="00B26451"/>
    <w:rsid w:val="00B958E5"/>
    <w:rsid w:val="00BD6BAF"/>
    <w:rsid w:val="00C624C2"/>
    <w:rsid w:val="00D3152A"/>
    <w:rsid w:val="00DA7A31"/>
    <w:rsid w:val="00DC40B9"/>
    <w:rsid w:val="00E405C3"/>
    <w:rsid w:val="00E829A3"/>
    <w:rsid w:val="00E9175B"/>
    <w:rsid w:val="00EA3A0B"/>
    <w:rsid w:val="00EF3714"/>
    <w:rsid w:val="00F305F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2">
    <w:name w:val="Body Text 2"/>
    <w:basedOn w:val="Normal"/>
    <w:rsid w:val="001D7F80"/>
    <w:pPr>
      <w:jc w:val="center"/>
    </w:pPr>
    <w:rPr>
      <w:rFonts w:ascii="Arial" w:hAnsi="Arial" w:cs="Arial"/>
      <w:b/>
      <w:bCs/>
      <w:color w:val="auto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2025-07-06T18:11:00Z</dcterms:created>
  <dcterms:modified xsi:type="dcterms:W3CDTF">2025-07-06T18:11:00Z</dcterms:modified>
</cp:coreProperties>
</file>