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2558A">
        <w:rPr>
          <w:lang w:val="es-AR"/>
        </w:rPr>
        <w:t>22</w:t>
      </w:r>
      <w:r w:rsidR="00327F28">
        <w:rPr>
          <w:lang w:val="es-AR"/>
        </w:rPr>
        <w:t>4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67AE" w:rsidRPr="005F67AE" w:rsidRDefault="005F67AE" w:rsidP="005F67AE">
      <w:pPr>
        <w:spacing w:line="260" w:lineRule="exact"/>
        <w:jc w:val="center"/>
        <w:rPr>
          <w:rFonts w:ascii="Arial" w:hAnsi="Arial"/>
          <w:b/>
          <w:snapToGrid/>
          <w:sz w:val="24"/>
          <w:szCs w:val="24"/>
          <w:lang w:val="es-ES_tradnl" w:eastAsia="en-US"/>
        </w:rPr>
      </w:pPr>
    </w:p>
    <w:p w:rsidR="005F67AE" w:rsidRPr="005F67AE" w:rsidRDefault="005F67AE" w:rsidP="005F67AE">
      <w:pPr>
        <w:spacing w:line="260" w:lineRule="exact"/>
        <w:ind w:firstLine="851"/>
        <w:jc w:val="both"/>
        <w:rPr>
          <w:rFonts w:ascii="Arial" w:hAnsi="Arial"/>
          <w:snapToGrid/>
          <w:sz w:val="24"/>
          <w:szCs w:val="24"/>
          <w:lang w:val="es-ES_tradnl" w:eastAsia="en-US"/>
        </w:rPr>
      </w:pPr>
      <w:r>
        <w:rPr>
          <w:rFonts w:ascii="Arial" w:hAnsi="Arial"/>
          <w:snapToGrid/>
          <w:sz w:val="24"/>
          <w:szCs w:val="24"/>
          <w:lang w:val="es-ES_tradnl" w:eastAsia="en-US"/>
        </w:rPr>
        <w:t>La Resolución CSU-647/15</w:t>
      </w:r>
      <w:r w:rsidRPr="005F67AE">
        <w:rPr>
          <w:rFonts w:ascii="Arial" w:hAnsi="Arial"/>
          <w:snapToGrid/>
          <w:sz w:val="24"/>
          <w:szCs w:val="24"/>
          <w:lang w:val="es-ES_tradnl" w:eastAsia="en-US"/>
        </w:rPr>
        <w:t xml:space="preserve"> mediante la cual se asignó, en una </w:t>
      </w:r>
      <w:r>
        <w:rPr>
          <w:rFonts w:ascii="Arial" w:hAnsi="Arial"/>
          <w:snapToGrid/>
          <w:sz w:val="24"/>
          <w:szCs w:val="24"/>
          <w:lang w:val="es-ES_tradnl" w:eastAsia="en-US"/>
        </w:rPr>
        <w:t>primer</w:t>
      </w:r>
      <w:r w:rsidRPr="005F67AE">
        <w:rPr>
          <w:rFonts w:ascii="Arial" w:hAnsi="Arial"/>
          <w:snapToGrid/>
          <w:sz w:val="24"/>
          <w:szCs w:val="24"/>
          <w:lang w:val="es-ES_tradnl" w:eastAsia="en-US"/>
        </w:rPr>
        <w:t xml:space="preserve"> etapa, al Departamento de Ciencias e Ingeniería de la Computación la suma de pesos </w:t>
      </w:r>
      <w:r>
        <w:rPr>
          <w:rFonts w:ascii="Arial" w:hAnsi="Arial"/>
          <w:snapToGrid/>
          <w:sz w:val="24"/>
          <w:szCs w:val="24"/>
          <w:lang w:val="es-ES_tradnl" w:eastAsia="en-US"/>
        </w:rPr>
        <w:t>CIENTO CATORCE MIL NOVECIENTOS SETENTA y SIETE</w:t>
      </w:r>
      <w:r w:rsidRPr="005F67AE">
        <w:rPr>
          <w:rFonts w:ascii="Arial" w:hAnsi="Arial"/>
          <w:snapToGrid/>
          <w:sz w:val="24"/>
          <w:szCs w:val="24"/>
          <w:lang w:val="es-ES_tradnl" w:eastAsia="en-US"/>
        </w:rPr>
        <w:t xml:space="preserve"> </w:t>
      </w:r>
      <w:r>
        <w:rPr>
          <w:rFonts w:ascii="Arial" w:hAnsi="Arial"/>
          <w:snapToGrid/>
          <w:sz w:val="24"/>
          <w:szCs w:val="24"/>
          <w:lang w:val="es-ES_tradnl" w:eastAsia="en-US"/>
        </w:rPr>
        <w:t>(</w:t>
      </w:r>
      <w:r w:rsidRPr="005F67AE">
        <w:rPr>
          <w:rFonts w:ascii="Arial" w:hAnsi="Arial"/>
          <w:snapToGrid/>
          <w:sz w:val="24"/>
          <w:szCs w:val="24"/>
          <w:lang w:val="es-ES_tradnl" w:eastAsia="en-US"/>
        </w:rPr>
        <w:t>$</w:t>
      </w:r>
      <w:r>
        <w:rPr>
          <w:rFonts w:ascii="Arial" w:hAnsi="Arial"/>
          <w:snapToGrid/>
          <w:sz w:val="24"/>
          <w:szCs w:val="24"/>
          <w:lang w:val="es-ES_tradnl" w:eastAsia="en-US"/>
        </w:rPr>
        <w:t xml:space="preserve"> </w:t>
      </w:r>
      <w:r w:rsidRPr="005F67AE">
        <w:rPr>
          <w:rFonts w:ascii="Arial" w:hAnsi="Arial"/>
          <w:snapToGrid/>
          <w:sz w:val="24"/>
          <w:szCs w:val="24"/>
          <w:lang w:val="es-ES_tradnl" w:eastAsia="en-US"/>
        </w:rPr>
        <w:t>114.977</w:t>
      </w:r>
      <w:r>
        <w:rPr>
          <w:rFonts w:ascii="Arial" w:hAnsi="Arial"/>
          <w:snapToGrid/>
          <w:sz w:val="24"/>
          <w:szCs w:val="24"/>
          <w:lang w:val="es-ES_tradnl" w:eastAsia="en-US"/>
        </w:rPr>
        <w:t xml:space="preserve">.-) </w:t>
      </w:r>
      <w:r w:rsidRPr="005F67AE">
        <w:rPr>
          <w:rFonts w:ascii="Arial" w:hAnsi="Arial"/>
          <w:snapToGrid/>
          <w:sz w:val="24"/>
          <w:szCs w:val="24"/>
          <w:lang w:val="es-ES_tradnl" w:eastAsia="en-US"/>
        </w:rPr>
        <w:t>para ser distribuidos entre los Proyectos de Grupos de I</w:t>
      </w:r>
      <w:r>
        <w:rPr>
          <w:rFonts w:ascii="Arial" w:hAnsi="Arial"/>
          <w:snapToGrid/>
          <w:sz w:val="24"/>
          <w:szCs w:val="24"/>
          <w:lang w:val="es-ES_tradnl" w:eastAsia="en-US"/>
        </w:rPr>
        <w:t>nvestigación 2015</w:t>
      </w:r>
      <w:r w:rsidRPr="005F67AE">
        <w:rPr>
          <w:rFonts w:ascii="Arial" w:hAnsi="Arial"/>
          <w:snapToGrid/>
          <w:sz w:val="24"/>
          <w:szCs w:val="24"/>
          <w:lang w:val="es-ES_tradnl" w:eastAsia="en-US"/>
        </w:rPr>
        <w:t xml:space="preserve"> (PGI);</w:t>
      </w:r>
    </w:p>
    <w:p w:rsidR="005F67AE" w:rsidRPr="005F67AE" w:rsidRDefault="005F67AE" w:rsidP="005F67AE">
      <w:pPr>
        <w:spacing w:line="260" w:lineRule="exact"/>
        <w:ind w:firstLine="851"/>
        <w:jc w:val="both"/>
        <w:rPr>
          <w:rFonts w:ascii="Arial" w:hAnsi="Arial"/>
          <w:snapToGrid/>
          <w:sz w:val="24"/>
          <w:szCs w:val="24"/>
          <w:lang w:val="es-ES_tradnl" w:eastAsia="en-US"/>
        </w:rPr>
      </w:pPr>
    </w:p>
    <w:p w:rsidR="005F67AE" w:rsidRPr="005F67AE" w:rsidRDefault="005F67AE" w:rsidP="005F67AE">
      <w:pPr>
        <w:spacing w:line="260" w:lineRule="exact"/>
        <w:ind w:firstLine="851"/>
        <w:jc w:val="both"/>
        <w:rPr>
          <w:rFonts w:ascii="Arial" w:hAnsi="Arial"/>
          <w:snapToGrid/>
          <w:sz w:val="24"/>
          <w:szCs w:val="24"/>
          <w:lang w:val="es-ES_tradnl" w:eastAsia="en-US"/>
        </w:rPr>
      </w:pPr>
      <w:r w:rsidRPr="005F67AE">
        <w:rPr>
          <w:rFonts w:ascii="Arial" w:hAnsi="Arial"/>
          <w:snapToGrid/>
          <w:sz w:val="24"/>
          <w:szCs w:val="24"/>
          <w:lang w:val="es-ES_tradnl" w:eastAsia="en-US"/>
        </w:rPr>
        <w:t>La Resolución CDCIC-304/11 Bis mediante la cual se aprobó el criterio a aplicar para la distribución de los fondos otorgados al Departamento de Ciencias e Ingeniería de la Computación, en el marco de la Ejecución del Presupuesto de la Finalidad Ciencia y Tecnología, entre los Proyectos de Grupos de Investigación del mismo; y</w:t>
      </w:r>
    </w:p>
    <w:p w:rsidR="005F67AE" w:rsidRPr="005F67AE" w:rsidRDefault="005F67AE" w:rsidP="005F67AE">
      <w:pPr>
        <w:spacing w:line="260" w:lineRule="exact"/>
        <w:rPr>
          <w:rFonts w:ascii="Arial" w:hAnsi="Arial"/>
          <w:snapToGrid/>
          <w:sz w:val="24"/>
          <w:szCs w:val="24"/>
          <w:lang w:val="es-ES_tradnl" w:eastAsia="en-US"/>
        </w:rPr>
      </w:pPr>
    </w:p>
    <w:p w:rsidR="005F67AE" w:rsidRPr="005F67AE" w:rsidRDefault="005F67AE" w:rsidP="005F67AE">
      <w:pPr>
        <w:spacing w:line="260" w:lineRule="exact"/>
        <w:rPr>
          <w:rFonts w:ascii="Arial" w:hAnsi="Arial"/>
          <w:snapToGrid/>
          <w:sz w:val="24"/>
          <w:szCs w:val="24"/>
          <w:lang w:val="es-ES_tradnl" w:eastAsia="en-US"/>
        </w:rPr>
      </w:pPr>
      <w:r w:rsidRPr="005F67AE">
        <w:rPr>
          <w:rFonts w:ascii="Arial" w:hAnsi="Arial"/>
          <w:b/>
          <w:snapToGrid/>
          <w:sz w:val="24"/>
          <w:szCs w:val="24"/>
          <w:lang w:val="es-ES_tradnl" w:eastAsia="en-US"/>
        </w:rPr>
        <w:t>CONSIDERANDO:</w:t>
      </w:r>
      <w:r w:rsidRPr="005F67AE">
        <w:rPr>
          <w:rFonts w:ascii="Arial" w:hAnsi="Arial"/>
          <w:snapToGrid/>
          <w:sz w:val="24"/>
          <w:szCs w:val="24"/>
          <w:lang w:val="es-ES_tradnl" w:eastAsia="en-US"/>
        </w:rPr>
        <w:t xml:space="preserve"> </w:t>
      </w:r>
    </w:p>
    <w:p w:rsidR="005F67AE" w:rsidRPr="005F67AE" w:rsidRDefault="005F67AE" w:rsidP="005F67AE">
      <w:pPr>
        <w:spacing w:line="260" w:lineRule="exact"/>
        <w:rPr>
          <w:rFonts w:ascii="Arial" w:hAnsi="Arial"/>
          <w:snapToGrid/>
          <w:sz w:val="24"/>
          <w:szCs w:val="24"/>
          <w:lang w:val="es-ES_tradnl" w:eastAsia="en-US"/>
        </w:rPr>
      </w:pPr>
    </w:p>
    <w:p w:rsidR="005F67AE" w:rsidRDefault="005F67AE" w:rsidP="009B533A">
      <w:pPr>
        <w:spacing w:line="260" w:lineRule="exact"/>
        <w:ind w:firstLine="851"/>
        <w:jc w:val="both"/>
        <w:rPr>
          <w:rFonts w:ascii="Arial" w:hAnsi="Arial"/>
          <w:snapToGrid/>
          <w:sz w:val="24"/>
          <w:szCs w:val="24"/>
          <w:lang w:val="es-ES_tradnl" w:eastAsia="en-US"/>
        </w:rPr>
      </w:pPr>
      <w:r w:rsidRPr="005F67AE">
        <w:rPr>
          <w:rFonts w:ascii="Arial" w:hAnsi="Arial"/>
          <w:snapToGrid/>
          <w:sz w:val="24"/>
          <w:szCs w:val="24"/>
          <w:lang w:val="es-ES_tradnl" w:eastAsia="en-US"/>
        </w:rPr>
        <w:t>Que para esta convocatoria se han presentado doce (12) PGI que cumplen con los requisitos formales enunciados en el Artículo 3</w:t>
      </w:r>
      <w:r w:rsidRPr="005F67AE">
        <w:rPr>
          <w:rFonts w:ascii="Arial" w:hAnsi="Arial"/>
          <w:snapToGrid/>
          <w:sz w:val="24"/>
          <w:szCs w:val="24"/>
          <w:lang w:val="es-ES_tradnl" w:eastAsia="en-US"/>
        </w:rPr>
        <w:sym w:font="Symbol" w:char="F0B0"/>
      </w:r>
      <w:r w:rsidRPr="005F67AE">
        <w:rPr>
          <w:rFonts w:ascii="Arial" w:hAnsi="Arial"/>
          <w:snapToGrid/>
          <w:sz w:val="24"/>
          <w:szCs w:val="24"/>
          <w:lang w:val="es-ES_tradnl" w:eastAsia="en-US"/>
        </w:rPr>
        <w:t>) del Anexo de la resolución CU-787/04;</w:t>
      </w:r>
    </w:p>
    <w:p w:rsidR="00716EE8" w:rsidRDefault="00716EE8" w:rsidP="009B533A">
      <w:pPr>
        <w:spacing w:line="260" w:lineRule="exact"/>
        <w:ind w:firstLine="851"/>
        <w:jc w:val="both"/>
        <w:rPr>
          <w:rFonts w:ascii="Arial" w:hAnsi="Arial"/>
          <w:snapToGrid/>
          <w:sz w:val="24"/>
          <w:szCs w:val="24"/>
          <w:lang w:val="es-ES_tradnl" w:eastAsia="en-US"/>
        </w:rPr>
      </w:pPr>
    </w:p>
    <w:p w:rsidR="009B533A" w:rsidRDefault="009B533A" w:rsidP="009B533A">
      <w:pPr>
        <w:spacing w:line="260" w:lineRule="exact"/>
        <w:ind w:firstLine="851"/>
        <w:jc w:val="both"/>
        <w:rPr>
          <w:rFonts w:ascii="Arial" w:hAnsi="Arial"/>
          <w:snapToGrid/>
          <w:sz w:val="24"/>
          <w:szCs w:val="24"/>
          <w:lang w:val="es-ES_tradnl" w:eastAsia="en-US"/>
        </w:rPr>
      </w:pPr>
      <w:r w:rsidRPr="005F67AE">
        <w:rPr>
          <w:rFonts w:ascii="Arial" w:hAnsi="Arial"/>
          <w:snapToGrid/>
          <w:sz w:val="24"/>
          <w:szCs w:val="24"/>
          <w:lang w:val="es-ES_tradnl" w:eastAsia="en-US"/>
        </w:rPr>
        <w:t xml:space="preserve">Que el monto asignado a esta Unidad Académica se distribuyó entre los Proyectos aprobados de acuerdo al criterio establecido por Resol. CDCIC-304/11 Bis, basándose en la productividad de los investigadores que integran cada proyecto; </w:t>
      </w:r>
    </w:p>
    <w:p w:rsidR="009B533A" w:rsidRDefault="009B533A" w:rsidP="009B533A">
      <w:pPr>
        <w:spacing w:line="260" w:lineRule="exact"/>
        <w:ind w:firstLine="851"/>
        <w:jc w:val="both"/>
        <w:rPr>
          <w:rFonts w:ascii="Arial" w:hAnsi="Arial"/>
          <w:snapToGrid/>
          <w:sz w:val="24"/>
          <w:szCs w:val="24"/>
          <w:lang w:val="es-ES_tradnl" w:eastAsia="en-US"/>
        </w:rPr>
      </w:pPr>
    </w:p>
    <w:p w:rsidR="005F67AE" w:rsidRDefault="00716EE8" w:rsidP="009B533A">
      <w:pPr>
        <w:spacing w:line="260" w:lineRule="exact"/>
        <w:ind w:firstLine="851"/>
        <w:jc w:val="both"/>
        <w:rPr>
          <w:rFonts w:ascii="Arial" w:hAnsi="Arial"/>
          <w:snapToGrid/>
          <w:sz w:val="24"/>
          <w:szCs w:val="24"/>
          <w:lang w:val="es-ES_tradnl" w:eastAsia="en-US"/>
        </w:rPr>
      </w:pPr>
      <w:r>
        <w:rPr>
          <w:rFonts w:ascii="Arial" w:hAnsi="Arial"/>
          <w:snapToGrid/>
          <w:sz w:val="24"/>
          <w:szCs w:val="24"/>
          <w:lang w:val="es-ES_tradnl" w:eastAsia="en-US"/>
        </w:rPr>
        <w:t xml:space="preserve">Que dado que no se ha terminado de ingresar </w:t>
      </w:r>
      <w:r w:rsidR="009B533A">
        <w:rPr>
          <w:rFonts w:ascii="Arial" w:hAnsi="Arial"/>
          <w:snapToGrid/>
          <w:sz w:val="24"/>
          <w:szCs w:val="24"/>
          <w:lang w:val="es-ES_tradnl" w:eastAsia="en-US"/>
        </w:rPr>
        <w:t xml:space="preserve">en SIGEVA UNS </w:t>
      </w:r>
      <w:r>
        <w:rPr>
          <w:rFonts w:ascii="Arial" w:hAnsi="Arial"/>
          <w:snapToGrid/>
          <w:sz w:val="24"/>
          <w:szCs w:val="24"/>
          <w:lang w:val="es-ES_tradnl" w:eastAsia="en-US"/>
        </w:rPr>
        <w:t>completamente la evaluación de la producción de Ciencia y Tecnología 2012 y 2013</w:t>
      </w:r>
      <w:r w:rsidR="009B533A">
        <w:rPr>
          <w:rFonts w:ascii="Arial" w:hAnsi="Arial"/>
          <w:snapToGrid/>
          <w:sz w:val="24"/>
          <w:szCs w:val="24"/>
          <w:lang w:val="es-ES_tradnl" w:eastAsia="en-US"/>
        </w:rPr>
        <w:t xml:space="preserve"> se recurrió,</w:t>
      </w:r>
      <w:r>
        <w:rPr>
          <w:rFonts w:ascii="Arial" w:hAnsi="Arial"/>
          <w:snapToGrid/>
          <w:sz w:val="24"/>
          <w:szCs w:val="24"/>
          <w:lang w:val="es-ES_tradnl" w:eastAsia="en-US"/>
        </w:rPr>
        <w:t xml:space="preserve"> </w:t>
      </w:r>
      <w:r w:rsidR="009B533A">
        <w:rPr>
          <w:rFonts w:ascii="Arial" w:hAnsi="Arial"/>
          <w:snapToGrid/>
          <w:sz w:val="24"/>
          <w:szCs w:val="24"/>
          <w:lang w:val="es-ES_tradnl" w:eastAsia="en-US"/>
        </w:rPr>
        <w:t xml:space="preserve">de </w:t>
      </w:r>
      <w:r>
        <w:rPr>
          <w:rFonts w:ascii="Arial" w:hAnsi="Arial"/>
          <w:snapToGrid/>
          <w:sz w:val="24"/>
          <w:szCs w:val="24"/>
          <w:lang w:val="es-ES_tradnl" w:eastAsia="en-US"/>
        </w:rPr>
        <w:t>manera exce</w:t>
      </w:r>
      <w:r w:rsidR="009B533A">
        <w:rPr>
          <w:rFonts w:ascii="Arial" w:hAnsi="Arial"/>
          <w:snapToGrid/>
          <w:sz w:val="24"/>
          <w:szCs w:val="24"/>
          <w:lang w:val="es-ES_tradnl" w:eastAsia="en-US"/>
        </w:rPr>
        <w:t xml:space="preserve">pcional, </w:t>
      </w:r>
      <w:r>
        <w:rPr>
          <w:rFonts w:ascii="Arial" w:hAnsi="Arial"/>
          <w:snapToGrid/>
          <w:sz w:val="24"/>
          <w:szCs w:val="24"/>
          <w:lang w:val="es-ES_tradnl" w:eastAsia="en-US"/>
        </w:rPr>
        <w:t>a la Producción 2011 para el cálculo de</w:t>
      </w:r>
      <w:r w:rsidR="009B533A">
        <w:rPr>
          <w:rFonts w:ascii="Arial" w:hAnsi="Arial"/>
          <w:snapToGrid/>
          <w:sz w:val="24"/>
          <w:szCs w:val="24"/>
          <w:lang w:val="es-ES_tradnl" w:eastAsia="en-US"/>
        </w:rPr>
        <w:t xml:space="preserve">l monto del subsidio que le corresponde a cada uno; </w:t>
      </w:r>
    </w:p>
    <w:p w:rsidR="009B533A" w:rsidRDefault="009B533A" w:rsidP="009B533A">
      <w:pPr>
        <w:spacing w:line="260" w:lineRule="exact"/>
        <w:ind w:firstLine="851"/>
        <w:jc w:val="both"/>
        <w:rPr>
          <w:rFonts w:ascii="Arial" w:hAnsi="Arial"/>
          <w:snapToGrid/>
          <w:sz w:val="24"/>
          <w:szCs w:val="24"/>
          <w:lang w:val="es-ES_tradnl" w:eastAsia="en-US"/>
        </w:rPr>
      </w:pPr>
    </w:p>
    <w:p w:rsidR="006E2C0C" w:rsidRDefault="006E2C0C" w:rsidP="009B533A">
      <w:pPr>
        <w:ind w:firstLine="720"/>
        <w:jc w:val="both"/>
        <w:rPr>
          <w:rFonts w:ascii="Arial" w:hAnsi="Arial"/>
          <w:snapToGrid/>
          <w:sz w:val="24"/>
          <w:lang w:val="es-ES_tradnl"/>
        </w:rPr>
      </w:pPr>
      <w:r>
        <w:rPr>
          <w:rFonts w:ascii="Arial" w:hAnsi="Arial"/>
          <w:snapToGrid/>
          <w:sz w:val="24"/>
          <w:lang w:val="es-ES_tradnl"/>
        </w:rPr>
        <w:t xml:space="preserve">Que el PGI dirigido por el Mg. Ing. Jorge </w:t>
      </w:r>
      <w:proofErr w:type="spellStart"/>
      <w:r>
        <w:rPr>
          <w:rFonts w:ascii="Arial" w:hAnsi="Arial"/>
          <w:snapToGrid/>
          <w:sz w:val="24"/>
          <w:lang w:val="es-ES_tradnl"/>
        </w:rPr>
        <w:t>Ardenghi</w:t>
      </w:r>
      <w:proofErr w:type="spellEnd"/>
      <w:r>
        <w:rPr>
          <w:rFonts w:ascii="Arial" w:hAnsi="Arial"/>
          <w:snapToGrid/>
          <w:sz w:val="24"/>
          <w:lang w:val="es-ES_tradnl"/>
        </w:rPr>
        <w:t xml:space="preserve"> no tiene afinidad temática directa con los restantes, por la cual se propone distribuir uniformemente el monto que le correspondería entre los restantes proyectos; </w:t>
      </w:r>
    </w:p>
    <w:p w:rsidR="007B5ED7" w:rsidRDefault="007B5ED7" w:rsidP="007B5ED7">
      <w:pPr>
        <w:jc w:val="both"/>
        <w:rPr>
          <w:rFonts w:ascii="Arial" w:hAnsi="Arial"/>
          <w:snapToGrid/>
          <w:sz w:val="24"/>
          <w:lang w:val="es-ES_tradnl"/>
        </w:rPr>
      </w:pPr>
    </w:p>
    <w:p w:rsidR="007B5ED7" w:rsidRPr="007B5ED7" w:rsidRDefault="007B5ED7" w:rsidP="007B5ED7">
      <w:pPr>
        <w:ind w:firstLine="720"/>
        <w:jc w:val="both"/>
        <w:rPr>
          <w:rFonts w:ascii="Arial" w:hAnsi="Arial"/>
          <w:snapToGrid/>
          <w:sz w:val="24"/>
          <w:lang w:val="es-ES_tradnl"/>
        </w:rPr>
      </w:pPr>
      <w:r>
        <w:rPr>
          <w:rFonts w:ascii="Arial" w:hAnsi="Arial"/>
          <w:snapToGrid/>
          <w:sz w:val="24"/>
          <w:lang w:val="es-ES_tradnl"/>
        </w:rPr>
        <w:t>Que l</w:t>
      </w:r>
      <w:r w:rsidRPr="007B5ED7">
        <w:rPr>
          <w:rFonts w:ascii="Arial" w:hAnsi="Arial"/>
          <w:snapToGrid/>
          <w:sz w:val="24"/>
        </w:rPr>
        <w:t xml:space="preserve">a </w:t>
      </w:r>
      <w:proofErr w:type="spellStart"/>
      <w:r w:rsidRPr="007B5ED7">
        <w:rPr>
          <w:rFonts w:ascii="Arial" w:hAnsi="Arial"/>
          <w:snapToGrid/>
          <w:sz w:val="24"/>
        </w:rPr>
        <w:t>producción</w:t>
      </w:r>
      <w:proofErr w:type="spellEnd"/>
      <w:r w:rsidRPr="007B5ED7">
        <w:rPr>
          <w:rFonts w:ascii="Arial" w:hAnsi="Arial"/>
          <w:snapToGrid/>
          <w:sz w:val="24"/>
        </w:rPr>
        <w:t xml:space="preserve"> </w:t>
      </w:r>
      <w:proofErr w:type="spellStart"/>
      <w:r w:rsidRPr="007B5ED7">
        <w:rPr>
          <w:rFonts w:ascii="Arial" w:hAnsi="Arial"/>
          <w:snapToGrid/>
          <w:sz w:val="24"/>
        </w:rPr>
        <w:t>C</w:t>
      </w:r>
      <w:r>
        <w:rPr>
          <w:rFonts w:ascii="Arial" w:hAnsi="Arial"/>
          <w:snapToGrid/>
          <w:sz w:val="24"/>
        </w:rPr>
        <w:t>ientífica</w:t>
      </w:r>
      <w:proofErr w:type="spellEnd"/>
      <w:r>
        <w:rPr>
          <w:rFonts w:ascii="Arial" w:hAnsi="Arial"/>
          <w:snapToGrid/>
          <w:sz w:val="24"/>
        </w:rPr>
        <w:t xml:space="preserve"> y </w:t>
      </w:r>
      <w:proofErr w:type="spellStart"/>
      <w:r>
        <w:rPr>
          <w:rFonts w:ascii="Arial" w:hAnsi="Arial"/>
          <w:snapToGrid/>
          <w:sz w:val="24"/>
        </w:rPr>
        <w:t>Tecnológica</w:t>
      </w:r>
      <w:proofErr w:type="spellEnd"/>
      <w:r>
        <w:rPr>
          <w:rFonts w:ascii="Arial" w:hAnsi="Arial"/>
          <w:snapToGrid/>
          <w:sz w:val="24"/>
        </w:rPr>
        <w:t xml:space="preserve"> </w:t>
      </w:r>
      <w:proofErr w:type="spellStart"/>
      <w:r w:rsidRPr="007B5ED7">
        <w:rPr>
          <w:rFonts w:ascii="Arial" w:hAnsi="Arial"/>
          <w:snapToGrid/>
          <w:sz w:val="24"/>
        </w:rPr>
        <w:t>asociada</w:t>
      </w:r>
      <w:proofErr w:type="spellEnd"/>
      <w:r w:rsidRPr="007B5ED7">
        <w:rPr>
          <w:rFonts w:ascii="Arial" w:hAnsi="Arial"/>
          <w:snapToGrid/>
          <w:sz w:val="24"/>
        </w:rPr>
        <w:t xml:space="preserve"> al Dr. Diego Martinez se </w:t>
      </w:r>
      <w:proofErr w:type="spellStart"/>
      <w:r w:rsidRPr="007B5ED7">
        <w:rPr>
          <w:rFonts w:ascii="Arial" w:hAnsi="Arial"/>
          <w:snapToGrid/>
          <w:sz w:val="24"/>
        </w:rPr>
        <w:t>computará</w:t>
      </w:r>
      <w:proofErr w:type="spellEnd"/>
      <w:r w:rsidRPr="007B5ED7">
        <w:rPr>
          <w:rFonts w:ascii="Arial" w:hAnsi="Arial"/>
          <w:snapToGrid/>
          <w:sz w:val="24"/>
        </w:rPr>
        <w:t xml:space="preserve"> </w:t>
      </w:r>
      <w:proofErr w:type="spellStart"/>
      <w:r w:rsidRPr="007B5ED7">
        <w:rPr>
          <w:rFonts w:ascii="Arial" w:hAnsi="Arial"/>
          <w:snapToGrid/>
          <w:sz w:val="24"/>
        </w:rPr>
        <w:t>en</w:t>
      </w:r>
      <w:proofErr w:type="spellEnd"/>
      <w:r w:rsidRPr="007B5ED7">
        <w:rPr>
          <w:rFonts w:ascii="Arial" w:hAnsi="Arial"/>
          <w:snapToGrid/>
          <w:sz w:val="24"/>
        </w:rPr>
        <w:t xml:space="preserve"> </w:t>
      </w:r>
      <w:proofErr w:type="spellStart"/>
      <w:r w:rsidRPr="007B5ED7">
        <w:rPr>
          <w:rFonts w:ascii="Arial" w:hAnsi="Arial"/>
          <w:snapToGrid/>
          <w:sz w:val="24"/>
        </w:rPr>
        <w:t>relación</w:t>
      </w:r>
      <w:proofErr w:type="spellEnd"/>
      <w:r w:rsidRPr="007B5ED7">
        <w:rPr>
          <w:rFonts w:ascii="Arial" w:hAnsi="Arial"/>
          <w:snapToGrid/>
          <w:sz w:val="24"/>
        </w:rPr>
        <w:t xml:space="preserve"> al PGI </w:t>
      </w:r>
      <w:proofErr w:type="spellStart"/>
      <w:r w:rsidRPr="007B5ED7">
        <w:rPr>
          <w:rFonts w:ascii="Arial" w:hAnsi="Arial"/>
          <w:snapToGrid/>
          <w:sz w:val="24"/>
        </w:rPr>
        <w:t>dirigido</w:t>
      </w:r>
      <w:proofErr w:type="spellEnd"/>
      <w:r w:rsidRPr="007B5ED7">
        <w:rPr>
          <w:rFonts w:ascii="Arial" w:hAnsi="Arial"/>
          <w:snapToGrid/>
          <w:sz w:val="24"/>
        </w:rPr>
        <w:t xml:space="preserve"> </w:t>
      </w:r>
      <w:proofErr w:type="spellStart"/>
      <w:r w:rsidRPr="007B5ED7">
        <w:rPr>
          <w:rFonts w:ascii="Arial" w:hAnsi="Arial"/>
          <w:snapToGrid/>
          <w:sz w:val="24"/>
        </w:rPr>
        <w:t>por</w:t>
      </w:r>
      <w:proofErr w:type="spellEnd"/>
      <w:r w:rsidRPr="007B5ED7">
        <w:rPr>
          <w:rFonts w:ascii="Arial" w:hAnsi="Arial"/>
          <w:snapToGrid/>
          <w:sz w:val="24"/>
        </w:rPr>
        <w:t xml:space="preserve"> el Dr. </w:t>
      </w:r>
      <w:proofErr w:type="spellStart"/>
      <w:r w:rsidRPr="007B5ED7">
        <w:rPr>
          <w:rFonts w:ascii="Arial" w:hAnsi="Arial"/>
          <w:snapToGrid/>
          <w:sz w:val="24"/>
        </w:rPr>
        <w:t>Simari</w:t>
      </w:r>
      <w:proofErr w:type="spellEnd"/>
      <w:r w:rsidRPr="007B5ED7">
        <w:rPr>
          <w:rFonts w:ascii="Arial" w:hAnsi="Arial"/>
          <w:snapToGrid/>
          <w:sz w:val="24"/>
        </w:rPr>
        <w:t xml:space="preserve">, </w:t>
      </w:r>
      <w:proofErr w:type="spellStart"/>
      <w:r w:rsidRPr="007B5ED7">
        <w:rPr>
          <w:rFonts w:ascii="Arial" w:hAnsi="Arial"/>
          <w:snapToGrid/>
          <w:sz w:val="24"/>
        </w:rPr>
        <w:t>en</w:t>
      </w:r>
      <w:proofErr w:type="spellEnd"/>
      <w:r w:rsidRPr="007B5ED7">
        <w:rPr>
          <w:rFonts w:ascii="Arial" w:hAnsi="Arial"/>
          <w:snapToGrid/>
          <w:sz w:val="24"/>
        </w:rPr>
        <w:t xml:space="preserve"> </w:t>
      </w:r>
      <w:proofErr w:type="spellStart"/>
      <w:r w:rsidRPr="007B5ED7">
        <w:rPr>
          <w:rFonts w:ascii="Arial" w:hAnsi="Arial"/>
          <w:snapToGrid/>
          <w:sz w:val="24"/>
        </w:rPr>
        <w:t>virtud</w:t>
      </w:r>
      <w:proofErr w:type="spellEnd"/>
      <w:r w:rsidRPr="007B5ED7">
        <w:rPr>
          <w:rFonts w:ascii="Arial" w:hAnsi="Arial"/>
          <w:snapToGrid/>
          <w:sz w:val="24"/>
        </w:rPr>
        <w:t xml:space="preserve"> de la </w:t>
      </w:r>
      <w:proofErr w:type="spellStart"/>
      <w:r w:rsidRPr="007B5ED7">
        <w:rPr>
          <w:rFonts w:ascii="Arial" w:hAnsi="Arial"/>
          <w:snapToGrid/>
          <w:sz w:val="24"/>
        </w:rPr>
        <w:t>afinidad</w:t>
      </w:r>
      <w:proofErr w:type="spellEnd"/>
      <w:r w:rsidRPr="007B5ED7">
        <w:rPr>
          <w:rFonts w:ascii="Arial" w:hAnsi="Arial"/>
          <w:snapToGrid/>
          <w:sz w:val="24"/>
        </w:rPr>
        <w:t xml:space="preserve"> </w:t>
      </w:r>
      <w:proofErr w:type="spellStart"/>
      <w:r w:rsidRPr="007B5ED7">
        <w:rPr>
          <w:rFonts w:ascii="Arial" w:hAnsi="Arial"/>
          <w:snapToGrid/>
          <w:sz w:val="24"/>
        </w:rPr>
        <w:t>temática</w:t>
      </w:r>
      <w:proofErr w:type="spellEnd"/>
      <w:r w:rsidRPr="007B5ED7">
        <w:rPr>
          <w:rFonts w:ascii="Arial" w:hAnsi="Arial"/>
          <w:snapToGrid/>
          <w:sz w:val="24"/>
        </w:rPr>
        <w:t xml:space="preserve"> y co-</w:t>
      </w:r>
      <w:proofErr w:type="spellStart"/>
      <w:r w:rsidRPr="007B5ED7">
        <w:rPr>
          <w:rFonts w:ascii="Arial" w:hAnsi="Arial"/>
          <w:snapToGrid/>
          <w:sz w:val="24"/>
        </w:rPr>
        <w:t>autoría</w:t>
      </w:r>
      <w:proofErr w:type="spellEnd"/>
      <w:r w:rsidRPr="007B5ED7">
        <w:rPr>
          <w:rFonts w:ascii="Arial" w:hAnsi="Arial"/>
          <w:snapToGrid/>
          <w:sz w:val="24"/>
        </w:rPr>
        <w:t xml:space="preserve"> de </w:t>
      </w:r>
      <w:proofErr w:type="spellStart"/>
      <w:r w:rsidRPr="007B5ED7">
        <w:rPr>
          <w:rFonts w:ascii="Arial" w:hAnsi="Arial"/>
          <w:snapToGrid/>
          <w:sz w:val="24"/>
        </w:rPr>
        <w:t>trabajos</w:t>
      </w:r>
      <w:proofErr w:type="spellEnd"/>
      <w:r w:rsidRPr="007B5ED7">
        <w:rPr>
          <w:rFonts w:ascii="Arial" w:hAnsi="Arial"/>
          <w:snapToGrid/>
          <w:sz w:val="24"/>
        </w:rPr>
        <w:t xml:space="preserve"> de </w:t>
      </w:r>
      <w:proofErr w:type="spellStart"/>
      <w:r w:rsidRPr="007B5ED7">
        <w:rPr>
          <w:rFonts w:ascii="Arial" w:hAnsi="Arial"/>
          <w:snapToGrid/>
          <w:sz w:val="24"/>
        </w:rPr>
        <w:t>investigación</w:t>
      </w:r>
      <w:proofErr w:type="spellEnd"/>
      <w:r w:rsidRPr="007B5ED7">
        <w:rPr>
          <w:rFonts w:ascii="Arial" w:hAnsi="Arial"/>
          <w:snapToGrid/>
          <w:sz w:val="24"/>
        </w:rPr>
        <w:t xml:space="preserve">. </w:t>
      </w:r>
    </w:p>
    <w:p w:rsidR="007B5ED7" w:rsidRDefault="007B5ED7" w:rsidP="007B5ED7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_tradnl"/>
        </w:rPr>
      </w:pPr>
    </w:p>
    <w:p w:rsidR="007B5ED7" w:rsidRDefault="007B5ED7" w:rsidP="007B5ED7">
      <w:pPr>
        <w:ind w:firstLine="720"/>
        <w:jc w:val="both"/>
        <w:rPr>
          <w:rFonts w:ascii="Arial" w:hAnsi="Arial"/>
          <w:snapToGrid/>
          <w:sz w:val="24"/>
          <w:lang w:val="es-ES_tradnl"/>
        </w:rPr>
      </w:pPr>
      <w:r w:rsidRPr="009B533A">
        <w:rPr>
          <w:rFonts w:ascii="Arial" w:hAnsi="Arial"/>
          <w:snapToGrid/>
          <w:sz w:val="24"/>
          <w:lang w:val="es-ES_tradnl"/>
        </w:rPr>
        <w:t xml:space="preserve">Que el Dr. Gustavo Vázquez ha manifestado su intención de no recibir fondos destinados al PGI que dirige y dado que el mismo está orientado a la bioinformática y existe fuerte similitud temática con el proyecto dirigido por el Dr. Ignacio </w:t>
      </w:r>
      <w:proofErr w:type="spellStart"/>
      <w:r w:rsidRPr="009B533A">
        <w:rPr>
          <w:rFonts w:ascii="Arial" w:hAnsi="Arial"/>
          <w:snapToGrid/>
          <w:sz w:val="24"/>
          <w:lang w:val="es-ES_tradnl"/>
        </w:rPr>
        <w:t>Ponzoni</w:t>
      </w:r>
      <w:proofErr w:type="spellEnd"/>
      <w:r w:rsidRPr="009B533A">
        <w:rPr>
          <w:rFonts w:ascii="Arial" w:hAnsi="Arial"/>
          <w:snapToGrid/>
          <w:sz w:val="24"/>
          <w:lang w:val="es-ES_tradnl"/>
        </w:rPr>
        <w:t xml:space="preserve"> propuso asignar dichos fondos a este último; </w:t>
      </w:r>
    </w:p>
    <w:p w:rsidR="005F67AE" w:rsidRPr="005F67AE" w:rsidRDefault="005F67AE" w:rsidP="007B5ED7">
      <w:pPr>
        <w:spacing w:line="260" w:lineRule="exact"/>
        <w:rPr>
          <w:rFonts w:ascii="Arial" w:hAnsi="Arial"/>
          <w:snapToGrid/>
          <w:sz w:val="24"/>
          <w:szCs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7A405A">
        <w:rPr>
          <w:rFonts w:ascii="Arial" w:hAnsi="Arial" w:cs="Arial"/>
          <w:b/>
          <w:bCs/>
          <w:snapToGrid/>
          <w:sz w:val="24"/>
          <w:lang w:val="es-AR" w:eastAsia="en-US"/>
        </w:rPr>
        <w:t>06 de octubre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  <w:r w:rsidR="00DD069F">
        <w:rPr>
          <w:rFonts w:ascii="Arial" w:hAnsi="Arial" w:cs="Arial"/>
          <w:b/>
          <w:bCs/>
          <w:snapToGrid/>
          <w:sz w:val="24"/>
          <w:lang w:val="es-ES_tradnl" w:eastAsia="en-US"/>
        </w:rPr>
        <w:t>por unanimidad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5F67AE" w:rsidRPr="005F67AE" w:rsidRDefault="005F67AE" w:rsidP="005F67AE">
      <w:pPr>
        <w:jc w:val="both"/>
        <w:rPr>
          <w:rFonts w:ascii="Arial" w:hAnsi="Arial" w:cs="Arial"/>
          <w:snapToGrid/>
          <w:sz w:val="24"/>
          <w:lang w:val="es-ES_tradnl"/>
        </w:rPr>
      </w:pPr>
      <w:r w:rsidRPr="005F67AE">
        <w:rPr>
          <w:rFonts w:ascii="Arial" w:hAnsi="Arial" w:cs="Arial"/>
          <w:b/>
          <w:snapToGrid/>
          <w:sz w:val="24"/>
          <w:lang w:val="es-AR"/>
        </w:rPr>
        <w:t>Art. 1</w:t>
      </w:r>
      <w:r w:rsidRPr="005F67AE">
        <w:rPr>
          <w:rFonts w:ascii="Arial" w:hAnsi="Arial" w:cs="Arial"/>
          <w:b/>
          <w:snapToGrid/>
          <w:sz w:val="24"/>
          <w:lang w:val="es-ES_tradnl"/>
        </w:rPr>
        <w:sym w:font="Symbol" w:char="F0B0"/>
      </w:r>
      <w:r w:rsidRPr="005F67AE">
        <w:rPr>
          <w:rFonts w:ascii="Arial" w:hAnsi="Arial" w:cs="Arial"/>
          <w:b/>
          <w:snapToGrid/>
          <w:sz w:val="24"/>
          <w:lang w:val="es-AR"/>
        </w:rPr>
        <w:t>).-</w:t>
      </w:r>
      <w:r w:rsidRPr="005F67AE">
        <w:rPr>
          <w:rFonts w:ascii="Arial" w:hAnsi="Arial" w:cs="Arial"/>
          <w:snapToGrid/>
          <w:sz w:val="24"/>
          <w:lang w:val="es-AR"/>
        </w:rPr>
        <w:t xml:space="preserve"> Aprobar y proponer al Consejo Superior Universitario la distribución de los fondos otorgados</w:t>
      </w:r>
      <w:r w:rsidRPr="005F67AE">
        <w:rPr>
          <w:rFonts w:ascii="Arial" w:hAnsi="Arial" w:cs="Arial"/>
          <w:snapToGrid/>
          <w:sz w:val="24"/>
          <w:lang w:val="es-ES_tradnl"/>
        </w:rPr>
        <w:t xml:space="preserve"> por </w:t>
      </w:r>
      <w:r w:rsidRPr="005F67AE">
        <w:rPr>
          <w:rFonts w:ascii="Arial" w:hAnsi="Arial" w:cs="Arial"/>
          <w:snapToGrid/>
          <w:color w:val="000000"/>
          <w:sz w:val="24"/>
          <w:lang w:val="es-ES_tradnl"/>
        </w:rPr>
        <w:t xml:space="preserve">resolución </w:t>
      </w:r>
      <w:r w:rsidRPr="005F67AE">
        <w:rPr>
          <w:rFonts w:ascii="Arial" w:hAnsi="Arial"/>
          <w:snapToGrid/>
          <w:color w:val="000000"/>
          <w:sz w:val="24"/>
          <w:lang w:val="es-ES_tradnl"/>
        </w:rPr>
        <w:t>CSU-</w:t>
      </w:r>
      <w:r>
        <w:rPr>
          <w:rFonts w:ascii="Arial" w:hAnsi="Arial"/>
          <w:snapToGrid/>
          <w:color w:val="000000"/>
          <w:sz w:val="24"/>
          <w:lang w:val="es-ES_tradnl"/>
        </w:rPr>
        <w:t>647</w:t>
      </w:r>
      <w:r w:rsidRPr="005F67AE">
        <w:rPr>
          <w:rFonts w:ascii="Arial" w:hAnsi="Arial"/>
          <w:snapToGrid/>
          <w:sz w:val="24"/>
          <w:lang w:val="es-ES_tradnl"/>
        </w:rPr>
        <w:t>/1</w:t>
      </w:r>
      <w:r>
        <w:rPr>
          <w:rFonts w:ascii="Arial" w:hAnsi="Arial"/>
          <w:snapToGrid/>
          <w:sz w:val="24"/>
          <w:lang w:val="es-ES_tradnl"/>
        </w:rPr>
        <w:t>5</w:t>
      </w:r>
      <w:r w:rsidRPr="005F67AE">
        <w:rPr>
          <w:rFonts w:ascii="Arial" w:hAnsi="Arial"/>
          <w:snapToGrid/>
          <w:color w:val="000000"/>
          <w:sz w:val="24"/>
          <w:lang w:val="es-ES_tradnl"/>
        </w:rPr>
        <w:t xml:space="preserve"> </w:t>
      </w:r>
      <w:r w:rsidRPr="005F67AE">
        <w:rPr>
          <w:rFonts w:ascii="Arial" w:hAnsi="Arial" w:cs="Arial"/>
          <w:snapToGrid/>
          <w:color w:val="000000"/>
          <w:sz w:val="24"/>
          <w:lang w:val="es-ES_tradnl"/>
        </w:rPr>
        <w:t xml:space="preserve">entre los </w:t>
      </w:r>
      <w:r w:rsidRPr="005F67AE">
        <w:rPr>
          <w:rFonts w:ascii="Arial" w:hAnsi="Arial" w:cs="Arial"/>
          <w:snapToGrid/>
          <w:sz w:val="24"/>
          <w:lang w:val="es-ES_tradnl"/>
        </w:rPr>
        <w:t xml:space="preserve">Proyectos de Grupos de Investigación del Departamento de Ciencias e Ingeniería de la Computación, de acuerdo al siguiente detalle: </w:t>
      </w:r>
    </w:p>
    <w:p w:rsidR="005F67AE" w:rsidRDefault="005F67AE" w:rsidP="005F67AE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9428" w:type="dxa"/>
        <w:tblInd w:w="93" w:type="dxa"/>
        <w:tblLook w:val="04A0"/>
      </w:tblPr>
      <w:tblGrid>
        <w:gridCol w:w="1137"/>
        <w:gridCol w:w="1910"/>
        <w:gridCol w:w="4111"/>
        <w:gridCol w:w="2270"/>
      </w:tblGrid>
      <w:tr w:rsidR="005F67AE" w:rsidTr="005F67AE">
        <w:trPr>
          <w:trHeight w:val="300"/>
        </w:trPr>
        <w:tc>
          <w:tcPr>
            <w:tcW w:w="1137" w:type="dxa"/>
            <w:noWrap/>
          </w:tcPr>
          <w:p w:rsidR="005F67AE" w:rsidRDefault="005F67AE" w:rsidP="005F67AE">
            <w:pPr>
              <w:rPr>
                <w:lang w:val="es-ES_tradnl"/>
              </w:rPr>
            </w:pPr>
          </w:p>
        </w:tc>
        <w:tc>
          <w:tcPr>
            <w:tcW w:w="1910" w:type="dxa"/>
            <w:noWrap/>
            <w:hideMark/>
          </w:tcPr>
          <w:p w:rsidR="005F67AE" w:rsidRDefault="005F67AE" w:rsidP="007B5ED7">
            <w:pPr>
              <w:rPr>
                <w:lang w:val="es-ES_tradnl"/>
              </w:rPr>
            </w:pPr>
          </w:p>
        </w:tc>
        <w:tc>
          <w:tcPr>
            <w:tcW w:w="4111" w:type="dxa"/>
            <w:hideMark/>
          </w:tcPr>
          <w:p w:rsidR="005F67AE" w:rsidRDefault="005F67AE" w:rsidP="007B5ED7">
            <w:pPr>
              <w:rPr>
                <w:lang w:val="es-AR" w:eastAsia="es-AR"/>
              </w:rPr>
            </w:pPr>
          </w:p>
        </w:tc>
        <w:tc>
          <w:tcPr>
            <w:tcW w:w="2270" w:type="dxa"/>
            <w:noWrap/>
            <w:vAlign w:val="bottom"/>
            <w:hideMark/>
          </w:tcPr>
          <w:p w:rsidR="005F67AE" w:rsidRDefault="005F67AE" w:rsidP="007B5ED7">
            <w:pPr>
              <w:rPr>
                <w:lang w:val="es-AR" w:eastAsia="es-AR"/>
              </w:rPr>
            </w:pPr>
          </w:p>
        </w:tc>
      </w:tr>
      <w:tr w:rsidR="005F67AE" w:rsidRPr="005F67AE" w:rsidTr="005F67AE">
        <w:trPr>
          <w:trHeight w:val="300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5F67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Código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5F67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Director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5F67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F67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Nombre</w:t>
            </w:r>
            <w:proofErr w:type="spellEnd"/>
            <w:r w:rsidRPr="005F67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del Proyecto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5F67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Monto </w:t>
            </w:r>
            <w:proofErr w:type="spellStart"/>
            <w:r w:rsidRPr="005F67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Asignado</w:t>
            </w:r>
            <w:proofErr w:type="spellEnd"/>
          </w:p>
        </w:tc>
      </w:tr>
      <w:tr w:rsidR="005F67AE" w:rsidRPr="005F67AE" w:rsidTr="005F67AE">
        <w:trPr>
          <w:trHeight w:val="5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67AE">
              <w:rPr>
                <w:rFonts w:ascii="Arial" w:hAnsi="Arial" w:cs="Arial"/>
                <w:sz w:val="24"/>
                <w:szCs w:val="24"/>
              </w:rPr>
              <w:t>24/N034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F67AE">
              <w:rPr>
                <w:rFonts w:ascii="Arial" w:hAnsi="Arial" w:cs="Arial"/>
                <w:sz w:val="24"/>
                <w:szCs w:val="24"/>
              </w:rPr>
              <w:t>Brignole</w:t>
            </w:r>
            <w:proofErr w:type="spellEnd"/>
            <w:r w:rsidRPr="005F67A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F67AE">
              <w:rPr>
                <w:rFonts w:ascii="Arial" w:hAnsi="Arial" w:cs="Arial"/>
                <w:sz w:val="24"/>
                <w:szCs w:val="24"/>
              </w:rPr>
              <w:t>Nélida</w:t>
            </w:r>
            <w:proofErr w:type="spellEnd"/>
            <w:r w:rsidRPr="005F67AE">
              <w:rPr>
                <w:rFonts w:ascii="Arial" w:hAnsi="Arial" w:cs="Arial"/>
                <w:sz w:val="24"/>
                <w:szCs w:val="24"/>
              </w:rPr>
              <w:t xml:space="preserve"> Beatriz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Computación Científica Aplicada al Diseño de Redes de Transporte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F67AE">
              <w:rPr>
                <w:rFonts w:ascii="Arial" w:hAnsi="Arial" w:cs="Arial"/>
                <w:sz w:val="24"/>
                <w:szCs w:val="24"/>
              </w:rPr>
              <w:t>$ 7.588.-</w:t>
            </w:r>
          </w:p>
        </w:tc>
      </w:tr>
      <w:tr w:rsidR="005F67AE" w:rsidRPr="005F67AE" w:rsidTr="005F67AE">
        <w:trPr>
          <w:trHeight w:val="90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67AE">
              <w:rPr>
                <w:rFonts w:ascii="Arial" w:hAnsi="Arial" w:cs="Arial"/>
                <w:sz w:val="24"/>
                <w:szCs w:val="24"/>
              </w:rPr>
              <w:t>24/N036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</w:rPr>
            </w:pPr>
            <w:r w:rsidRPr="005F67AE">
              <w:rPr>
                <w:rFonts w:ascii="Arial" w:hAnsi="Arial" w:cs="Arial"/>
                <w:sz w:val="24"/>
                <w:szCs w:val="24"/>
              </w:rPr>
              <w:t xml:space="preserve">Capobianco, Marcela                 </w:t>
            </w:r>
            <w:proofErr w:type="spellStart"/>
            <w:r w:rsidRPr="005F67AE">
              <w:rPr>
                <w:rFonts w:ascii="Arial" w:hAnsi="Arial" w:cs="Arial"/>
                <w:sz w:val="24"/>
                <w:szCs w:val="24"/>
              </w:rPr>
              <w:t>Stankevicius</w:t>
            </w:r>
            <w:proofErr w:type="spellEnd"/>
            <w:r w:rsidRPr="005F67AE">
              <w:rPr>
                <w:rFonts w:ascii="Arial" w:hAnsi="Arial" w:cs="Arial"/>
                <w:sz w:val="24"/>
                <w:szCs w:val="24"/>
              </w:rPr>
              <w:t>, Alejandro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Aspectos Teóricos y Pragmáticos de la Representación de Conocimiento en Formalismos de Razonamiento Rebatible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9B533A" w:rsidP="007B5ED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$5.29</w:t>
            </w:r>
            <w:r w:rsidR="005F67AE" w:rsidRPr="005F67AE">
              <w:rPr>
                <w:rFonts w:ascii="Arial" w:hAnsi="Arial" w:cs="Arial"/>
                <w:sz w:val="24"/>
                <w:szCs w:val="24"/>
              </w:rPr>
              <w:t>3.-</w:t>
            </w:r>
          </w:p>
        </w:tc>
      </w:tr>
      <w:tr w:rsidR="005F67AE" w:rsidRPr="005F67AE" w:rsidTr="005F67AE">
        <w:trPr>
          <w:trHeight w:val="69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</w:rPr>
            </w:pPr>
            <w:r w:rsidRPr="005F67AE">
              <w:rPr>
                <w:rFonts w:ascii="Arial" w:hAnsi="Arial" w:cs="Arial"/>
                <w:sz w:val="24"/>
                <w:szCs w:val="24"/>
              </w:rPr>
              <w:t>24/ZN26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F67AE">
              <w:rPr>
                <w:rFonts w:ascii="Arial" w:hAnsi="Arial" w:cs="Arial"/>
                <w:sz w:val="24"/>
                <w:szCs w:val="24"/>
              </w:rPr>
              <w:t>Carballido</w:t>
            </w:r>
            <w:proofErr w:type="spellEnd"/>
            <w:r w:rsidRPr="005F67AE">
              <w:rPr>
                <w:rFonts w:ascii="Arial" w:hAnsi="Arial" w:cs="Arial"/>
                <w:sz w:val="24"/>
                <w:szCs w:val="24"/>
              </w:rPr>
              <w:t>, Jessica Andrea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proofErr w:type="spellStart"/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Metaheurísticas</w:t>
            </w:r>
            <w:proofErr w:type="spellEnd"/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aplicadas a problemas de optimización </w:t>
            </w:r>
            <w:proofErr w:type="spellStart"/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multi</w:t>
            </w:r>
            <w:proofErr w:type="spellEnd"/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-objetivo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F67AE">
              <w:rPr>
                <w:rFonts w:ascii="Arial" w:hAnsi="Arial" w:cs="Arial"/>
                <w:sz w:val="24"/>
                <w:szCs w:val="24"/>
              </w:rPr>
              <w:t>$2.234.-</w:t>
            </w:r>
          </w:p>
        </w:tc>
      </w:tr>
      <w:tr w:rsidR="005F67AE" w:rsidRPr="005F67AE" w:rsidTr="005F67AE">
        <w:trPr>
          <w:trHeight w:val="94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</w:rPr>
            </w:pPr>
            <w:r w:rsidRPr="005F67AE">
              <w:rPr>
                <w:rFonts w:ascii="Arial" w:hAnsi="Arial" w:cs="Arial"/>
                <w:sz w:val="24"/>
                <w:szCs w:val="24"/>
              </w:rPr>
              <w:t>24/N037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</w:rPr>
            </w:pPr>
            <w:r w:rsidRPr="005F67AE">
              <w:rPr>
                <w:rFonts w:ascii="Arial" w:hAnsi="Arial" w:cs="Arial"/>
                <w:sz w:val="24"/>
                <w:szCs w:val="24"/>
              </w:rPr>
              <w:t>Castro, Silvia Mabel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Análisis Visual de Grandes Conjuntos de Datos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jc w:val="right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$11.985.-</w:t>
            </w:r>
          </w:p>
        </w:tc>
      </w:tr>
      <w:tr w:rsidR="005F67AE" w:rsidRPr="005F67AE" w:rsidTr="005F67AE">
        <w:trPr>
          <w:trHeight w:val="61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24/N038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proofErr w:type="spellStart"/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Fillottrani</w:t>
            </w:r>
            <w:proofErr w:type="spellEnd"/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, Pablo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Interoperabilidad Semántica: aplicaciones para la Web y E-Gobierno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jc w:val="right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$16.574.-</w:t>
            </w:r>
          </w:p>
        </w:tc>
      </w:tr>
      <w:tr w:rsidR="005F67AE" w:rsidRPr="005F67AE" w:rsidTr="005F67AE">
        <w:trPr>
          <w:trHeight w:val="118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24/N035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García, Alejandro Javier</w:t>
            </w:r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br/>
            </w:r>
            <w:proofErr w:type="spellStart"/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Falappa</w:t>
            </w:r>
            <w:proofErr w:type="spellEnd"/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, Marcelo A. (Co-Director)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Argumentación y Dinámica de Creencias para mejorar las capacidades de razonamiento y representación de conocimiento en Sistemas </w:t>
            </w:r>
            <w:proofErr w:type="spellStart"/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Multi</w:t>
            </w:r>
            <w:proofErr w:type="spellEnd"/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-agente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F67AE">
              <w:rPr>
                <w:rFonts w:ascii="Arial" w:hAnsi="Arial" w:cs="Arial"/>
                <w:sz w:val="24"/>
                <w:szCs w:val="24"/>
              </w:rPr>
              <w:t>$21.545.-</w:t>
            </w:r>
          </w:p>
        </w:tc>
      </w:tr>
      <w:tr w:rsidR="005F67AE" w:rsidRPr="005F67AE" w:rsidTr="005F67AE">
        <w:trPr>
          <w:trHeight w:val="76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</w:rPr>
            </w:pPr>
            <w:r w:rsidRPr="005F67AE">
              <w:rPr>
                <w:rFonts w:ascii="Arial" w:hAnsi="Arial" w:cs="Arial"/>
                <w:sz w:val="24"/>
                <w:szCs w:val="24"/>
              </w:rPr>
              <w:t>24/ZN29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F67AE">
              <w:rPr>
                <w:rFonts w:ascii="Arial" w:hAnsi="Arial" w:cs="Arial"/>
                <w:sz w:val="24"/>
                <w:szCs w:val="24"/>
              </w:rPr>
              <w:t>Larrea</w:t>
            </w:r>
            <w:proofErr w:type="spellEnd"/>
            <w:r w:rsidRPr="005F67AE">
              <w:rPr>
                <w:rFonts w:ascii="Arial" w:hAnsi="Arial" w:cs="Arial"/>
                <w:sz w:val="24"/>
                <w:szCs w:val="24"/>
              </w:rPr>
              <w:t xml:space="preserve">, Martín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Visualización Basada en Semántica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F67AE">
              <w:rPr>
                <w:rFonts w:ascii="Arial" w:hAnsi="Arial" w:cs="Arial"/>
                <w:sz w:val="24"/>
                <w:szCs w:val="24"/>
              </w:rPr>
              <w:t>$3.811.-</w:t>
            </w:r>
          </w:p>
        </w:tc>
      </w:tr>
      <w:tr w:rsidR="005F67AE" w:rsidRPr="005F67AE" w:rsidTr="005F67AE">
        <w:trPr>
          <w:trHeight w:val="76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</w:rPr>
            </w:pPr>
            <w:r w:rsidRPr="005F67AE">
              <w:rPr>
                <w:rFonts w:ascii="Arial" w:hAnsi="Arial" w:cs="Arial"/>
                <w:sz w:val="24"/>
                <w:szCs w:val="24"/>
              </w:rPr>
              <w:t>24/N039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F67AE">
              <w:rPr>
                <w:rFonts w:ascii="Arial" w:hAnsi="Arial" w:cs="Arial"/>
                <w:sz w:val="24"/>
                <w:szCs w:val="24"/>
              </w:rPr>
              <w:t>Maguitman</w:t>
            </w:r>
            <w:proofErr w:type="spellEnd"/>
            <w:r w:rsidRPr="005F67AE">
              <w:rPr>
                <w:rFonts w:ascii="Arial" w:hAnsi="Arial" w:cs="Arial"/>
                <w:sz w:val="24"/>
                <w:szCs w:val="24"/>
              </w:rPr>
              <w:t>, Ana Gabriela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Soporte Inteligente para Facilitar el Acceso a Recursos Digitales en Entornos distribuidos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F67AE">
              <w:rPr>
                <w:rFonts w:ascii="Arial" w:hAnsi="Arial" w:cs="Arial"/>
                <w:sz w:val="24"/>
                <w:szCs w:val="24"/>
              </w:rPr>
              <w:t>$9.739.-</w:t>
            </w:r>
          </w:p>
        </w:tc>
      </w:tr>
      <w:tr w:rsidR="005F67AE" w:rsidRPr="005F67AE" w:rsidTr="005F67AE">
        <w:trPr>
          <w:trHeight w:val="97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67AE">
              <w:rPr>
                <w:rFonts w:ascii="Arial" w:hAnsi="Arial" w:cs="Arial"/>
                <w:sz w:val="24"/>
                <w:szCs w:val="24"/>
              </w:rPr>
              <w:t>24/N032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F67AE">
              <w:rPr>
                <w:rFonts w:ascii="Arial" w:hAnsi="Arial" w:cs="Arial"/>
                <w:sz w:val="24"/>
                <w:szCs w:val="24"/>
              </w:rPr>
              <w:t>Ponzoni</w:t>
            </w:r>
            <w:proofErr w:type="spellEnd"/>
            <w:r w:rsidRPr="005F67AE">
              <w:rPr>
                <w:rFonts w:ascii="Arial" w:hAnsi="Arial" w:cs="Arial"/>
                <w:sz w:val="24"/>
                <w:szCs w:val="24"/>
              </w:rPr>
              <w:t>, Ignacio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Desarrollo de técnicas de aprendizaje automático orientadas al diseño de modelos predictivos en biología de sistemas e informática molecular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F67AE">
              <w:rPr>
                <w:rFonts w:ascii="Arial" w:hAnsi="Arial" w:cs="Arial"/>
                <w:sz w:val="24"/>
                <w:szCs w:val="24"/>
              </w:rPr>
              <w:t>$6.393.-</w:t>
            </w:r>
          </w:p>
        </w:tc>
      </w:tr>
      <w:tr w:rsidR="005F67AE" w:rsidRPr="005F67AE" w:rsidTr="005F67AE">
        <w:trPr>
          <w:trHeight w:val="11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</w:rPr>
            </w:pPr>
            <w:r w:rsidRPr="005F67AE">
              <w:rPr>
                <w:rFonts w:ascii="Arial" w:hAnsi="Arial" w:cs="Arial"/>
                <w:sz w:val="24"/>
                <w:szCs w:val="24"/>
              </w:rPr>
              <w:t>24/N040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F67AE">
              <w:rPr>
                <w:rFonts w:ascii="Arial" w:hAnsi="Arial" w:cs="Arial"/>
                <w:sz w:val="24"/>
                <w:szCs w:val="24"/>
              </w:rPr>
              <w:t>Simari</w:t>
            </w:r>
            <w:proofErr w:type="spellEnd"/>
            <w:r w:rsidRPr="005F67AE">
              <w:rPr>
                <w:rFonts w:ascii="Arial" w:hAnsi="Arial" w:cs="Arial"/>
                <w:sz w:val="24"/>
                <w:szCs w:val="24"/>
              </w:rPr>
              <w:t>, Guillermo Ricardo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AE" w:rsidRPr="005F67AE" w:rsidRDefault="005F67AE" w:rsidP="007B5ED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F67AE">
              <w:rPr>
                <w:rFonts w:ascii="Arial" w:hAnsi="Arial" w:cs="Arial"/>
                <w:sz w:val="24"/>
                <w:szCs w:val="24"/>
                <w:lang w:val="es-ES_tradnl"/>
              </w:rPr>
              <w:t>Representación de conocimiento y Razonamiento Argumentativo: Herramientas Inteligentes para la Web y las Bases de Datos Federadas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F67AE">
              <w:rPr>
                <w:rFonts w:ascii="Arial" w:hAnsi="Arial" w:cs="Arial"/>
                <w:sz w:val="24"/>
                <w:szCs w:val="24"/>
              </w:rPr>
              <w:t>$29.815.-</w:t>
            </w:r>
          </w:p>
        </w:tc>
      </w:tr>
      <w:tr w:rsidR="005F67AE" w:rsidRPr="005F67AE" w:rsidTr="005F67AE">
        <w:trPr>
          <w:trHeight w:val="103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67AE">
              <w:rPr>
                <w:rFonts w:ascii="Arial" w:hAnsi="Arial" w:cs="Arial"/>
                <w:b/>
                <w:sz w:val="24"/>
                <w:szCs w:val="24"/>
              </w:rPr>
              <w:t>Total: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67AE" w:rsidRPr="005F67AE" w:rsidRDefault="005F67AE" w:rsidP="007B5E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67AE" w:rsidRPr="005F67AE" w:rsidRDefault="005F67AE" w:rsidP="007B5ED7">
            <w:pPr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67AE" w:rsidRPr="005F67AE" w:rsidRDefault="005F67AE" w:rsidP="007B5ED7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5F67AE">
              <w:rPr>
                <w:rFonts w:ascii="Arial" w:hAnsi="Arial" w:cs="Arial"/>
                <w:b/>
                <w:sz w:val="24"/>
                <w:szCs w:val="24"/>
              </w:rPr>
              <w:t>$114.977.-</w:t>
            </w:r>
          </w:p>
        </w:tc>
      </w:tr>
    </w:tbl>
    <w:p w:rsidR="005F67AE" w:rsidRDefault="005F67AE" w:rsidP="005F67AE">
      <w:pPr>
        <w:widowControl w:val="0"/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5F67AE" w:rsidRPr="005F67AE" w:rsidRDefault="005F67AE" w:rsidP="005F67AE">
      <w:pPr>
        <w:widowControl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5F67AE">
        <w:rPr>
          <w:rFonts w:ascii="Arial" w:hAnsi="Arial" w:cs="Arial"/>
          <w:b/>
          <w:sz w:val="24"/>
          <w:szCs w:val="24"/>
          <w:lang w:val="es-ES_tradnl"/>
        </w:rPr>
        <w:t>Art. 2</w:t>
      </w:r>
      <w:r w:rsidRPr="005F67AE">
        <w:rPr>
          <w:rFonts w:ascii="Arial" w:hAnsi="Arial" w:cs="Arial"/>
          <w:b/>
          <w:sz w:val="24"/>
          <w:szCs w:val="24"/>
          <w:lang w:val="es-ES_tradnl"/>
        </w:rPr>
        <w:sym w:font="Symbol" w:char="F0B0"/>
      </w:r>
      <w:r w:rsidRPr="005F67AE">
        <w:rPr>
          <w:rFonts w:ascii="Arial" w:hAnsi="Arial" w:cs="Arial"/>
          <w:b/>
          <w:sz w:val="24"/>
          <w:szCs w:val="24"/>
          <w:lang w:val="es-ES_tradnl"/>
        </w:rPr>
        <w:t>)</w:t>
      </w:r>
      <w:r w:rsidRPr="005F67AE">
        <w:rPr>
          <w:rFonts w:ascii="Arial" w:hAnsi="Arial" w:cs="Arial"/>
          <w:sz w:val="24"/>
          <w:szCs w:val="24"/>
          <w:lang w:val="es-ES_tradnl"/>
        </w:rPr>
        <w:t>.- Regístrese; comuníquese; pase a la Secretaría General de Ciencia y Tecnología a los fines que corresponda; cumplido, archívese.------------------------------------</w:t>
      </w:r>
    </w:p>
    <w:p w:rsidR="005F67AE" w:rsidRPr="005F67AE" w:rsidRDefault="005F67AE" w:rsidP="005F67AE">
      <w:pPr>
        <w:widowControl w:val="0"/>
        <w:ind w:firstLine="851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5F67AE" w:rsidRPr="005F67AE" w:rsidRDefault="005F67AE" w:rsidP="00BF676B">
      <w:pPr>
        <w:widowControl w:val="0"/>
        <w:ind w:firstLine="851"/>
        <w:jc w:val="both"/>
        <w:rPr>
          <w:rFonts w:ascii="Arial" w:hAnsi="Arial" w:cs="Arial"/>
          <w:sz w:val="24"/>
          <w:szCs w:val="24"/>
          <w:lang w:val="es-AR"/>
        </w:rPr>
      </w:pPr>
    </w:p>
    <w:sectPr w:rsidR="005F67AE" w:rsidRPr="005F67A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54BB6"/>
    <w:multiLevelType w:val="hybridMultilevel"/>
    <w:tmpl w:val="18F4BDE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530E5"/>
    <w:rsid w:val="0039653B"/>
    <w:rsid w:val="003966D7"/>
    <w:rsid w:val="003C4F40"/>
    <w:rsid w:val="003E0AF8"/>
    <w:rsid w:val="003E33CC"/>
    <w:rsid w:val="00427C9D"/>
    <w:rsid w:val="00453CE3"/>
    <w:rsid w:val="004557C1"/>
    <w:rsid w:val="0046778C"/>
    <w:rsid w:val="00487C3B"/>
    <w:rsid w:val="0049036F"/>
    <w:rsid w:val="00492121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5F67AE"/>
    <w:rsid w:val="006244D4"/>
    <w:rsid w:val="0062558A"/>
    <w:rsid w:val="00693AFA"/>
    <w:rsid w:val="006A24C9"/>
    <w:rsid w:val="006B5F5E"/>
    <w:rsid w:val="006E2C0C"/>
    <w:rsid w:val="007004A0"/>
    <w:rsid w:val="00716EE8"/>
    <w:rsid w:val="007413B4"/>
    <w:rsid w:val="007529BD"/>
    <w:rsid w:val="00766D79"/>
    <w:rsid w:val="00792B0C"/>
    <w:rsid w:val="007A405A"/>
    <w:rsid w:val="007B1678"/>
    <w:rsid w:val="007B5ED7"/>
    <w:rsid w:val="007E4593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B533A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716EE8"/>
    <w:pPr>
      <w:ind w:left="708"/>
    </w:pPr>
    <w:rPr>
      <w:snapToGrid/>
      <w:sz w:val="24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2025-07-06T18:15:00Z</dcterms:created>
  <dcterms:modified xsi:type="dcterms:W3CDTF">2025-07-06T18:15:00Z</dcterms:modified>
</cp:coreProperties>
</file>