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61CF9">
        <w:rPr>
          <w:lang w:val="es-AR"/>
        </w:rPr>
        <w:t>269</w:t>
      </w:r>
      <w:r w:rsidR="00BF22AD">
        <w:rPr>
          <w:lang w:val="es-AR"/>
        </w:rPr>
        <w:t>/</w:t>
      </w:r>
      <w:r w:rsidR="002D7AD9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Pr="00E77F7C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La resolución </w:t>
      </w:r>
      <w:r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="00EB373C" w:rsidRPr="00EB373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CSU-775/15</w:t>
      </w:r>
      <w:r w:rsidRPr="00E77F7C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>mediante la cual se establecen los montos de las retribuciones para profesores y auxiliares que participen en la etapa de nivelación del Ingreso  a la UNS</w:t>
      </w:r>
      <w:r w:rsidR="00EB373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2016</w:t>
      </w:r>
      <w:r w:rsidRPr="00E77F7C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; </w:t>
      </w:r>
      <w:r w:rsidRPr="00E77F7C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CONSIDERANDO: 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esta unidad académica implementó un curso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B373C" w:rsidRDefault="00E77F7C" w:rsidP="00E77F7C">
      <w:pPr>
        <w:spacing w:line="260" w:lineRule="exact"/>
        <w:ind w:firstLine="851"/>
        <w:jc w:val="both"/>
        <w:rPr>
          <w:rFonts w:ascii="Arial" w:hAnsi="Arial" w:cs="Arial"/>
          <w:b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 los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Consejo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s</w:t>
      </w:r>
      <w:r w:rsidR="002D7AD9">
        <w:rPr>
          <w:rFonts w:ascii="Arial" w:hAnsi="Arial" w:cs="Arial"/>
          <w:bCs/>
          <w:snapToGrid/>
          <w:sz w:val="24"/>
          <w:lang w:val="es-ES" w:eastAsia="en-US"/>
        </w:rPr>
        <w:t xml:space="preserve"> Departamental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es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Economía </w:t>
      </w:r>
      <w:r w:rsidR="00EB373C" w:rsidRPr="00EB373C">
        <w:rPr>
          <w:rFonts w:ascii="Arial" w:hAnsi="Arial" w:cs="Arial"/>
          <w:bCs/>
          <w:snapToGrid/>
          <w:sz w:val="24"/>
          <w:lang w:val="es-ES" w:eastAsia="en-US"/>
        </w:rPr>
        <w:t>y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Ciencias de la Administración 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>resolvieron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incluir el curso de Análisis y Comprensión de Problemas dentro de los requerimientos de la Etapa de Nivelación que deberán cumplimentar los alumnos ingresantes a las carreras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Licenciatura en Economía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Profesorado en Economía para la Enseñanza Secundaria</w:t>
      </w:r>
      <w:r w:rsidR="00EB373C">
        <w:rPr>
          <w:rFonts w:ascii="Arial" w:hAnsi="Arial" w:cs="Arial"/>
          <w:bCs/>
          <w:snapToGrid/>
          <w:sz w:val="24"/>
          <w:lang w:val="es-ES" w:eastAsia="en-US"/>
        </w:rPr>
        <w:t xml:space="preserve">, </w:t>
      </w:r>
      <w:r w:rsidR="00EB373C" w:rsidRPr="00EB373C">
        <w:rPr>
          <w:rFonts w:ascii="Arial" w:hAnsi="Arial" w:cs="Arial"/>
          <w:b/>
          <w:bCs/>
          <w:snapToGrid/>
          <w:sz w:val="24"/>
          <w:lang w:val="es-ES" w:eastAsia="en-US"/>
        </w:rPr>
        <w:t>Profesorado en Educación Secundaria en Ciencias de la Administración y Profesorado en Educación Secundaria  y Superior en Ciencias de la Administración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;</w:t>
      </w: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bCs/>
          <w:snapToGrid/>
          <w:sz w:val="24"/>
          <w:lang w:val="es-ES" w:eastAsia="en-US"/>
        </w:rPr>
      </w:pPr>
    </w:p>
    <w:p w:rsidR="00E77F7C" w:rsidRPr="00E77F7C" w:rsidRDefault="00E77F7C" w:rsidP="00E77F7C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Que la Comisión ad-hoc 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designada para analizar los antecedentes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77F7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="006863F7">
        <w:rPr>
          <w:rFonts w:ascii="Arial" w:hAnsi="Arial" w:cs="Arial"/>
          <w:bCs/>
          <w:snapToGrid/>
          <w:sz w:val="24"/>
          <w:lang w:val="es-ES" w:eastAsia="en-US"/>
        </w:rPr>
        <w:t>recomendó la designación de la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Dr</w:t>
      </w:r>
      <w:r w:rsidR="006863F7">
        <w:rPr>
          <w:rFonts w:ascii="Arial" w:hAnsi="Arial" w:cs="Arial"/>
          <w:bCs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. </w:t>
      </w:r>
      <w:r w:rsidR="006863F7">
        <w:rPr>
          <w:rFonts w:ascii="Arial" w:hAnsi="Arial" w:cs="Arial"/>
          <w:bCs/>
          <w:snapToGrid/>
          <w:sz w:val="24"/>
          <w:lang w:val="es-ES" w:eastAsia="en-US"/>
        </w:rPr>
        <w:t>Marcela Capobianco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como Profesor</w:t>
      </w:r>
      <w:r w:rsidR="006863F7">
        <w:rPr>
          <w:rFonts w:ascii="Arial" w:hAnsi="Arial" w:cs="Arial"/>
          <w:bCs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 xml:space="preserve"> de uno de los cursos de Análisis y Comprensión de Problemas;</w:t>
      </w:r>
    </w:p>
    <w:p w:rsidR="00E77F7C" w:rsidRDefault="00E77F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</w:t>
      </w:r>
      <w:r w:rsidR="00EB373C">
        <w:rPr>
          <w:rFonts w:ascii="Arial" w:hAnsi="Arial"/>
          <w:b/>
          <w:color w:val="000000"/>
          <w:sz w:val="24"/>
          <w:szCs w:val="24"/>
          <w:lang w:val="es-AR"/>
        </w:rPr>
        <w:t>5 de diciembre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7F7C" w:rsidRPr="00E77F7C" w:rsidRDefault="00E77F7C" w:rsidP="00E77F7C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1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sym w:font="Symbol" w:char="F0B0"/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).- </w:t>
      </w:r>
      <w:r w:rsidRPr="00E77F7C">
        <w:rPr>
          <w:rFonts w:ascii="Arial" w:hAnsi="Arial"/>
          <w:snapToGrid/>
          <w:sz w:val="24"/>
          <w:lang w:val="es-AR" w:eastAsia="en-US"/>
        </w:rPr>
        <w:t>Establecer una asignación complementaria</w:t>
      </w:r>
      <w:r w:rsidR="00D61CF9">
        <w:rPr>
          <w:rFonts w:ascii="Arial" w:hAnsi="Arial" w:cs="Arial"/>
          <w:snapToGrid/>
          <w:sz w:val="24"/>
          <w:lang w:val="es-ES" w:eastAsia="en-US"/>
        </w:rPr>
        <w:t xml:space="preserve"> a la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E85680">
        <w:rPr>
          <w:rFonts w:ascii="Arial" w:hAnsi="Arial" w:cs="Arial"/>
          <w:b/>
          <w:snapToGrid/>
          <w:sz w:val="24"/>
          <w:lang w:val="es-ES" w:eastAsia="en-US"/>
        </w:rPr>
        <w:t>Doctor</w:t>
      </w:r>
      <w:r w:rsidR="00D61CF9">
        <w:rPr>
          <w:rFonts w:ascii="Arial" w:hAnsi="Arial" w:cs="Arial"/>
          <w:b/>
          <w:snapToGrid/>
          <w:sz w:val="24"/>
          <w:lang w:val="es-ES" w:eastAsia="en-US"/>
        </w:rPr>
        <w:t>a</w:t>
      </w:r>
      <w:r w:rsidR="00E85680"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D61CF9">
        <w:rPr>
          <w:rFonts w:ascii="Arial" w:hAnsi="Arial" w:cs="Arial"/>
          <w:b/>
          <w:snapToGrid/>
          <w:sz w:val="24"/>
          <w:lang w:val="es-ES" w:eastAsia="en-US"/>
        </w:rPr>
        <w:t>Marcela CAPOBIANCO</w:t>
      </w:r>
      <w:r w:rsidR="006D623B"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D61CF9">
        <w:rPr>
          <w:rFonts w:ascii="Arial" w:hAnsi="Arial"/>
          <w:snapToGrid/>
          <w:sz w:val="24"/>
          <w:lang w:val="es-ES_tradnl" w:eastAsia="en-US"/>
        </w:rPr>
        <w:t>(Leg. 9482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para cumplir funciones como profesor</w:t>
      </w:r>
      <w:r w:rsidR="00622434">
        <w:rPr>
          <w:rFonts w:ascii="Arial" w:hAnsi="Arial" w:cs="Arial"/>
          <w:snapToGrid/>
          <w:sz w:val="24"/>
          <w:lang w:val="es-ES" w:eastAsia="en-US"/>
        </w:rPr>
        <w:t>a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snapToGrid/>
          <w:sz w:val="24"/>
          <w:lang w:val="es-ES" w:eastAsia="en-US"/>
        </w:rPr>
        <w:t>un (1)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Curso de Nivelación de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Análisis y Comprensión de Problemas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a partir del 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01 </w:t>
      </w:r>
      <w:r w:rsidR="00622434">
        <w:rPr>
          <w:rFonts w:ascii="Arial" w:hAnsi="Arial" w:cs="Arial"/>
          <w:snapToGrid/>
          <w:sz w:val="24"/>
          <w:lang w:val="es-ES" w:eastAsia="en-US"/>
        </w:rPr>
        <w:t>de febrero</w:t>
      </w:r>
      <w:r w:rsidR="00EB373C">
        <w:rPr>
          <w:rFonts w:ascii="Arial" w:hAnsi="Arial" w:cs="Arial"/>
          <w:snapToGrid/>
          <w:sz w:val="24"/>
          <w:lang w:val="es-ES" w:eastAsia="en-US"/>
        </w:rPr>
        <w:t xml:space="preserve"> y hasta el 14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marzo de 201</w:t>
      </w:r>
      <w:r w:rsidR="00EB373C">
        <w:rPr>
          <w:rFonts w:ascii="Arial" w:hAnsi="Arial" w:cs="Arial"/>
          <w:snapToGrid/>
          <w:sz w:val="24"/>
          <w:lang w:val="es-ES" w:eastAsia="en-US"/>
        </w:rPr>
        <w:t>6</w:t>
      </w:r>
      <w:r w:rsidRPr="00E77F7C">
        <w:rPr>
          <w:rFonts w:ascii="Arial" w:hAnsi="Arial" w:cs="Arial"/>
          <w:snapToGrid/>
          <w:sz w:val="24"/>
          <w:lang w:val="es-ES" w:eastAsia="en-US"/>
        </w:rPr>
        <w:t>.-</w:t>
      </w:r>
    </w:p>
    <w:p w:rsidR="00E77F7C" w:rsidRPr="00E77F7C" w:rsidRDefault="00E77F7C" w:rsidP="00E77F7C">
      <w:pPr>
        <w:spacing w:line="260" w:lineRule="exact"/>
        <w:rPr>
          <w:rFonts w:ascii="Arial" w:hAnsi="Arial" w:cs="Arial"/>
          <w:bCs/>
          <w:snapToGrid/>
          <w:sz w:val="24"/>
          <w:lang w:val="es-ES" w:eastAsia="en-US"/>
        </w:rPr>
      </w:pPr>
      <w:r w:rsidRPr="00E77F7C">
        <w:rPr>
          <w:rFonts w:ascii="Arial" w:hAnsi="Arial" w:cs="Arial"/>
          <w:snapToGrid/>
          <w:sz w:val="24"/>
          <w:lang w:val="es-ES" w:eastAsia="en-US"/>
        </w:rPr>
        <w:t xml:space="preserve"> </w:t>
      </w:r>
    </w:p>
    <w:p w:rsidR="00E77F7C" w:rsidRPr="00E77F7C" w:rsidRDefault="00E77F7C" w:rsidP="00E77F7C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 w:rsidRPr="00E77F7C">
        <w:rPr>
          <w:rFonts w:ascii="Arial" w:hAnsi="Arial"/>
          <w:snapToGrid/>
          <w:sz w:val="24"/>
          <w:lang w:val="es-AR" w:eastAsia="en-US"/>
        </w:rPr>
        <w:t>La retribución a la cual se hace mención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en el  Art. 1º) será remunerada con una suma única y fija, remunerativa y no </w:t>
      </w:r>
      <w:r w:rsidRPr="00E77F7C">
        <w:rPr>
          <w:rFonts w:ascii="Arial" w:hAnsi="Arial" w:cs="Arial"/>
          <w:snapToGrid/>
          <w:sz w:val="24"/>
          <w:lang w:val="es-AR" w:eastAsia="en-US"/>
        </w:rPr>
        <w:t>bonificable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de 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DIEZ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MIL </w:t>
      </w:r>
      <w:r w:rsidR="00EB373C">
        <w:rPr>
          <w:rFonts w:ascii="Arial" w:hAnsi="Arial" w:cs="Arial"/>
          <w:b/>
          <w:bCs/>
          <w:snapToGrid/>
          <w:sz w:val="24"/>
          <w:lang w:val="es-ES" w:eastAsia="en-US"/>
        </w:rPr>
        <w:t>SEISCIENTOS CUARENTA ($ 10.640,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00.</w:t>
      </w:r>
      <w:r w:rsidRPr="00E77F7C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-) </w:t>
      </w:r>
      <w:r w:rsidRPr="00E77F7C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7F7C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7F7C" w:rsidRPr="00E77F7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EB373C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EB373C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Unidad Presupuestaria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033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.001.000: </w:t>
      </w:r>
      <w:r>
        <w:rPr>
          <w:rFonts w:ascii="Arial" w:hAnsi="Arial" w:cs="Arial"/>
          <w:snapToGrid/>
          <w:sz w:val="24"/>
          <w:szCs w:val="24"/>
          <w:lang w:val="es-ES"/>
        </w:rPr>
        <w:t>Secretaría General Académica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Categoría Programática</w:t>
      </w:r>
      <w:r>
        <w:rPr>
          <w:rFonts w:ascii="Arial" w:hAnsi="Arial" w:cs="Arial"/>
          <w:snapToGrid/>
          <w:sz w:val="24"/>
          <w:szCs w:val="24"/>
          <w:lang w:val="es-ES"/>
        </w:rPr>
        <w:t xml:space="preserve"> 01.00.00.04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.00: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Programa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: </w:t>
      </w:r>
      <w:r>
        <w:rPr>
          <w:rFonts w:ascii="Arial" w:hAnsi="Arial" w:cs="Arial"/>
          <w:snapToGrid/>
          <w:sz w:val="24"/>
          <w:szCs w:val="24"/>
          <w:lang w:val="es-ES"/>
        </w:rPr>
        <w:t>Docencia Universitaria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––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Actividad: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/>
        </w:rPr>
        <w:t>Cursos de Nivelación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B373C">
        <w:rPr>
          <w:rFonts w:ascii="Arial" w:hAnsi="Arial" w:cs="Arial"/>
          <w:b/>
          <w:snapToGrid/>
          <w:sz w:val="24"/>
          <w:szCs w:val="24"/>
          <w:lang w:val="es-ES"/>
        </w:rPr>
        <w:t>Fuente de Financiamiento</w:t>
      </w:r>
      <w:r w:rsidRPr="00EB373C">
        <w:rPr>
          <w:rFonts w:ascii="Arial" w:hAnsi="Arial" w:cs="Arial"/>
          <w:snapToGrid/>
          <w:sz w:val="24"/>
          <w:szCs w:val="24"/>
          <w:lang w:val="es-ES"/>
        </w:rPr>
        <w:t xml:space="preserve"> 1.1 </w:t>
      </w:r>
      <w:r>
        <w:rPr>
          <w:rFonts w:ascii="Arial" w:hAnsi="Arial" w:cs="Arial"/>
          <w:snapToGrid/>
          <w:sz w:val="24"/>
          <w:szCs w:val="24"/>
          <w:lang w:val="es-ES_tradnl"/>
        </w:rPr>
        <w:t>Tesoro Nacional. Ejercicio Presupuestario 2016.-</w:t>
      </w:r>
    </w:p>
    <w:p w:rsid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</w:p>
    <w:p w:rsidR="00EB373C" w:rsidRPr="00EB373C" w:rsidRDefault="00EB373C" w:rsidP="00EB373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/>
        </w:rPr>
      </w:pPr>
    </w:p>
    <w:p w:rsidR="00E77F7C" w:rsidRPr="00EB373C" w:rsidRDefault="00E77F7C" w:rsidP="00E77F7C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lang w:val="es-ES_tradnl" w:eastAsia="en-US"/>
        </w:rPr>
      </w:pP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EB373C" w:rsidRDefault="00D61CF9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lastRenderedPageBreak/>
        <w:t>//CDCIC-269</w:t>
      </w:r>
      <w:r w:rsidR="00EB373C">
        <w:rPr>
          <w:rFonts w:ascii="Arial" w:hAnsi="Arial" w:cs="Arial"/>
          <w:b/>
          <w:snapToGrid/>
          <w:sz w:val="24"/>
          <w:szCs w:val="24"/>
          <w:lang w:val="es-AR" w:eastAsia="en-US"/>
        </w:rPr>
        <w:t>/15</w:t>
      </w:r>
    </w:p>
    <w:p w:rsidR="00EB373C" w:rsidRDefault="00EB373C" w:rsidP="00E77F7C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5F1B0E" w:rsidRPr="00E77F7C" w:rsidRDefault="00EB373C" w:rsidP="00E77F7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>A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rt. 4</w:t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="00E77F7C" w:rsidRPr="00E77F7C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="00E77F7C" w:rsidRPr="00E77F7C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E77F7C" w:rsidSect="00E77F7C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B4A4A"/>
    <w:rsid w:val="001F3DBD"/>
    <w:rsid w:val="00241F16"/>
    <w:rsid w:val="00246161"/>
    <w:rsid w:val="002724CF"/>
    <w:rsid w:val="0029482E"/>
    <w:rsid w:val="002B2E4F"/>
    <w:rsid w:val="002B656A"/>
    <w:rsid w:val="002C2D97"/>
    <w:rsid w:val="002D7AD9"/>
    <w:rsid w:val="002E1C18"/>
    <w:rsid w:val="00317DDE"/>
    <w:rsid w:val="003265D4"/>
    <w:rsid w:val="0039653B"/>
    <w:rsid w:val="003C4F40"/>
    <w:rsid w:val="003E4A6A"/>
    <w:rsid w:val="00427C9D"/>
    <w:rsid w:val="004306B7"/>
    <w:rsid w:val="00463262"/>
    <w:rsid w:val="00477B53"/>
    <w:rsid w:val="004B6AC6"/>
    <w:rsid w:val="004B759E"/>
    <w:rsid w:val="004C7022"/>
    <w:rsid w:val="004F49C1"/>
    <w:rsid w:val="005137F0"/>
    <w:rsid w:val="0052710E"/>
    <w:rsid w:val="00543645"/>
    <w:rsid w:val="0055010D"/>
    <w:rsid w:val="0056001E"/>
    <w:rsid w:val="005F03E3"/>
    <w:rsid w:val="005F1B0E"/>
    <w:rsid w:val="00622434"/>
    <w:rsid w:val="006244D4"/>
    <w:rsid w:val="006863F7"/>
    <w:rsid w:val="006D623B"/>
    <w:rsid w:val="007528E4"/>
    <w:rsid w:val="007529BD"/>
    <w:rsid w:val="00792B0C"/>
    <w:rsid w:val="007B776C"/>
    <w:rsid w:val="007C071D"/>
    <w:rsid w:val="007D22B2"/>
    <w:rsid w:val="007E4593"/>
    <w:rsid w:val="00807AC4"/>
    <w:rsid w:val="00817359"/>
    <w:rsid w:val="00837026"/>
    <w:rsid w:val="00854658"/>
    <w:rsid w:val="008A4207"/>
    <w:rsid w:val="008B1F2D"/>
    <w:rsid w:val="008C2C19"/>
    <w:rsid w:val="008E5B16"/>
    <w:rsid w:val="009C389B"/>
    <w:rsid w:val="009C5A28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61CF9"/>
    <w:rsid w:val="00D8788B"/>
    <w:rsid w:val="00DB066B"/>
    <w:rsid w:val="00DF1325"/>
    <w:rsid w:val="00E110C2"/>
    <w:rsid w:val="00E11BCD"/>
    <w:rsid w:val="00E15A47"/>
    <w:rsid w:val="00E17AA3"/>
    <w:rsid w:val="00E44971"/>
    <w:rsid w:val="00E77F7C"/>
    <w:rsid w:val="00E8242A"/>
    <w:rsid w:val="00E85680"/>
    <w:rsid w:val="00EA232F"/>
    <w:rsid w:val="00EB371C"/>
    <w:rsid w:val="00EB373C"/>
    <w:rsid w:val="00EC20E2"/>
    <w:rsid w:val="00ED154A"/>
    <w:rsid w:val="00F01C1B"/>
    <w:rsid w:val="00F110F0"/>
    <w:rsid w:val="00F90A11"/>
    <w:rsid w:val="00FA334D"/>
    <w:rsid w:val="00FA34AA"/>
    <w:rsid w:val="00FB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2025-07-06T18:17:00Z</dcterms:created>
  <dcterms:modified xsi:type="dcterms:W3CDTF">2025-07-06T18:17:00Z</dcterms:modified>
</cp:coreProperties>
</file>