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D36099">
        <w:rPr>
          <w:rFonts w:ascii="Arial" w:hAnsi="Arial"/>
          <w:b/>
          <w:color w:val="auto"/>
          <w:sz w:val="24"/>
          <w:lang w:val="es-ES_tradnl" w:eastAsia="es-ES"/>
        </w:rPr>
        <w:t>6</w:t>
      </w:r>
      <w:r w:rsidR="00956082">
        <w:rPr>
          <w:rFonts w:ascii="Arial" w:hAnsi="Arial"/>
          <w:b/>
          <w:color w:val="auto"/>
          <w:sz w:val="24"/>
          <w:lang w:val="es-ES_tradnl" w:eastAsia="es-ES"/>
        </w:rPr>
        <w:t>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>Que la asignatura Sistemas Embebidos se dicta en el 1º cuatrimestre para alumnos de la carrera Ingeniería en Computación; y</w:t>
      </w: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> </w:t>
      </w:r>
    </w:p>
    <w:p w:rsidR="00023AEF" w:rsidRPr="00023AEF" w:rsidRDefault="00023AEF" w:rsidP="00023AEF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023AEF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023AEF" w:rsidRPr="00023AEF" w:rsidRDefault="00023AEF" w:rsidP="00023AEF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023AEF">
        <w:rPr>
          <w:rFonts w:ascii="Arial" w:hAnsi="Arial" w:cs="Arial"/>
          <w:color w:val="auto"/>
          <w:sz w:val="24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023AEF" w:rsidRPr="00023AEF" w:rsidRDefault="00023AEF" w:rsidP="00023AEF">
      <w:pPr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023AEF">
        <w:rPr>
          <w:rFonts w:ascii="Arial" w:hAnsi="Arial" w:cs="Arial"/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la Comisión Ad Hoc designada para analizar los antecedentes de los inscriptos, recomendó la designación</w:t>
      </w: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d</w:t>
      </w:r>
      <w:r w:rsidRPr="00023AEF">
        <w:rPr>
          <w:rFonts w:ascii="Arial" w:hAnsi="Arial" w:cs="Arial"/>
          <w:color w:val="auto"/>
          <w:sz w:val="24"/>
          <w:szCs w:val="24"/>
          <w:lang w:val="es-AR"/>
        </w:rPr>
        <w:t xml:space="preserve">el Ing. Juan Biondi </w:t>
      </w: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para cumplir funciones, durante el presente cuatrimestre, </w:t>
      </w:r>
      <w:r w:rsidRPr="00023AEF">
        <w:rPr>
          <w:rFonts w:ascii="Arial" w:hAnsi="Arial" w:cs="Arial"/>
          <w:color w:val="auto"/>
          <w:sz w:val="24"/>
          <w:szCs w:val="24"/>
          <w:lang w:val="es-AR"/>
        </w:rPr>
        <w:t xml:space="preserve">de Ayudante de Docencia en Requerimientos de Sistemas;        </w:t>
      </w: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023AEF" w:rsidRPr="00023AEF" w:rsidRDefault="00023AEF" w:rsidP="00023AEF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023AEF">
        <w:rPr>
          <w:rFonts w:ascii="Arial" w:hAnsi="Arial"/>
          <w:bCs/>
          <w:color w:val="auto"/>
          <w:sz w:val="24"/>
          <w:lang w:val="es-ES_tradnl" w:eastAsia="es-ES"/>
        </w:rPr>
        <w:t>Que por resolución CSU-</w:t>
      </w:r>
      <w:r>
        <w:rPr>
          <w:rFonts w:ascii="Arial" w:hAnsi="Arial"/>
          <w:color w:val="auto"/>
          <w:sz w:val="24"/>
          <w:lang w:val="es-ES_tradnl" w:eastAsia="es-ES"/>
        </w:rPr>
        <w:t>876/15</w:t>
      </w:r>
      <w:r w:rsidRPr="00023AEF">
        <w:rPr>
          <w:rFonts w:ascii="Arial" w:hAnsi="Arial"/>
          <w:bCs/>
          <w:color w:val="auto"/>
          <w:sz w:val="24"/>
          <w:lang w:val="es-ES_tradnl" w:eastAsia="es-ES"/>
        </w:rPr>
        <w:t xml:space="preserve"> se crearon los cargos para cubrir temporariamente las demandas docentes que requieran el dictado de las carreras de </w:t>
      </w:r>
      <w:r w:rsidR="00F50B48">
        <w:rPr>
          <w:rFonts w:ascii="Arial" w:hAnsi="Arial"/>
          <w:bCs/>
          <w:color w:val="auto"/>
          <w:sz w:val="24"/>
          <w:lang w:val="es-ES_tradnl" w:eastAsia="es-ES"/>
        </w:rPr>
        <w:t>la UNS durante el ejercicio 201</w:t>
      </w:r>
      <w:r>
        <w:rPr>
          <w:rFonts w:ascii="Arial" w:hAnsi="Arial"/>
          <w:bCs/>
          <w:color w:val="auto"/>
          <w:sz w:val="24"/>
          <w:lang w:val="es-ES_tradnl" w:eastAsia="es-ES"/>
        </w:rPr>
        <w:t>6</w:t>
      </w:r>
      <w:r w:rsidRPr="00023AEF">
        <w:rPr>
          <w:rFonts w:ascii="Arial" w:hAnsi="Arial"/>
          <w:bCs/>
          <w:color w:val="auto"/>
          <w:sz w:val="24"/>
          <w:lang w:val="es-ES_tradnl" w:eastAsia="es-ES"/>
        </w:rPr>
        <w:t xml:space="preserve">; 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de fecha </w:t>
      </w:r>
      <w:r w:rsidR="00023AEF">
        <w:rPr>
          <w:rFonts w:ascii="Arial" w:hAnsi="Arial"/>
          <w:b/>
          <w:color w:val="auto"/>
          <w:sz w:val="24"/>
          <w:lang w:val="es-ES_tradnl" w:eastAsia="es-ES"/>
        </w:rPr>
        <w:t>22 de marzo de 2016</w:t>
      </w:r>
      <w:r w:rsidR="00D36099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023AEF" w:rsidRPr="00F50B48" w:rsidRDefault="00F50B48" w:rsidP="00F50B48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AF321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>Establecer una asignación complementaria</w:t>
      </w:r>
      <w:r>
        <w:rPr>
          <w:rFonts w:ascii="Arial" w:hAnsi="Arial"/>
          <w:color w:val="auto"/>
          <w:sz w:val="24"/>
          <w:szCs w:val="24"/>
          <w:lang w:val="es-AR" w:eastAsia="es-ES"/>
        </w:rPr>
        <w:t xml:space="preserve"> </w:t>
      </w:r>
      <w:r w:rsidR="00023AEF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="00023AEF" w:rsidRPr="00023AEF">
        <w:rPr>
          <w:rFonts w:ascii="Arial" w:hAnsi="Arial" w:cs="Arial"/>
          <w:color w:val="auto"/>
          <w:sz w:val="24"/>
          <w:szCs w:val="24"/>
          <w:lang w:val="es-ES_tradnl"/>
        </w:rPr>
        <w:t xml:space="preserve">l </w:t>
      </w:r>
      <w:r w:rsidR="00023AEF" w:rsidRPr="00023AEF">
        <w:rPr>
          <w:rFonts w:ascii="Arial" w:hAnsi="Arial" w:cs="Arial"/>
          <w:b/>
          <w:color w:val="auto"/>
          <w:sz w:val="24"/>
          <w:szCs w:val="24"/>
          <w:lang w:val="es-ES_tradnl"/>
        </w:rPr>
        <w:t>Ingeniero</w:t>
      </w:r>
      <w:r w:rsidR="00023AEF" w:rsidRPr="00023AEF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023AEF" w:rsidRPr="00023AEF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Juan Andrés BIONDI</w:t>
      </w:r>
      <w:r w:rsidR="00023AEF" w:rsidRPr="00023AEF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(Leg. 12860</w:t>
      </w:r>
      <w:r w:rsidR="00023AEF" w:rsidRPr="00023AEF">
        <w:rPr>
          <w:rFonts w:ascii="Arial" w:hAnsi="Arial" w:cs="Arial"/>
          <w:color w:val="auto"/>
          <w:sz w:val="24"/>
          <w:szCs w:val="24"/>
          <w:lang w:val="es-ES_tradnl"/>
        </w:rPr>
        <w:t>) para cumplir funciones de Ayudante de Docencia</w:t>
      </w:r>
      <w:r w:rsidR="00023AEF" w:rsidRPr="00023AEF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="00023AEF" w:rsidRPr="00023AEF">
        <w:rPr>
          <w:rFonts w:ascii="Arial" w:hAnsi="Arial" w:cs="Arial"/>
          <w:color w:val="auto"/>
          <w:sz w:val="24"/>
          <w:szCs w:val="24"/>
          <w:lang w:val="es-AR"/>
        </w:rPr>
        <w:t>en el Área: IV, Disciplina: Sistemas, Asignatura</w:t>
      </w:r>
      <w:r w:rsidR="00023AEF" w:rsidRPr="00023AEF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023AEF" w:rsidRPr="00023AEF">
        <w:rPr>
          <w:rFonts w:ascii="Arial" w:hAnsi="Arial" w:cs="Arial"/>
          <w:b/>
          <w:color w:val="auto"/>
          <w:sz w:val="24"/>
          <w:szCs w:val="24"/>
          <w:lang w:val="es-AR" w:eastAsia="es-AR"/>
        </w:rPr>
        <w:t>“</w:t>
      </w:r>
      <w:r w:rsidR="00023AEF" w:rsidRPr="00023AEF">
        <w:rPr>
          <w:rFonts w:ascii="Arial" w:hAnsi="Arial" w:cs="Arial"/>
          <w:b/>
          <w:i/>
          <w:color w:val="auto"/>
          <w:sz w:val="24"/>
          <w:szCs w:val="24"/>
          <w:lang w:val="es-AR" w:eastAsia="es-AR"/>
        </w:rPr>
        <w:t>Sistemas Embebidos”</w:t>
      </w:r>
      <w:r w:rsidR="00023AEF" w:rsidRPr="00023AEF">
        <w:rPr>
          <w:rFonts w:ascii="Arial" w:hAnsi="Arial" w:cs="Arial"/>
          <w:b/>
          <w:color w:val="auto"/>
          <w:sz w:val="24"/>
          <w:szCs w:val="24"/>
          <w:lang w:val="es-AR" w:eastAsia="es-AR"/>
        </w:rPr>
        <w:t xml:space="preserve"> (Cód. 7919) </w:t>
      </w:r>
      <w:r w:rsidR="00023AEF" w:rsidRPr="00023AEF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023AEF"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 w:rsidR="00023AEF">
        <w:rPr>
          <w:rFonts w:ascii="Arial" w:hAnsi="Arial" w:cs="Arial"/>
          <w:color w:val="auto"/>
          <w:sz w:val="24"/>
          <w:szCs w:val="24"/>
          <w:lang w:val="es-AR" w:eastAsia="es-AR"/>
        </w:rPr>
        <w:t>el 23 de marzo y hasta el 01 de julio de 2016</w:t>
      </w:r>
      <w:r w:rsidR="00023AEF" w:rsidRPr="00023AEF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="00023AEF" w:rsidRPr="00023AEF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="00023AEF" w:rsidRPr="00023AEF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023AEF" w:rsidRPr="00023AEF" w:rsidRDefault="00023AEF" w:rsidP="00023AEF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023AEF">
        <w:rPr>
          <w:rFonts w:ascii="Arial" w:hAnsi="Arial"/>
          <w:b/>
          <w:color w:val="auto"/>
          <w:sz w:val="24"/>
          <w:lang w:val="es-ES_tradnl"/>
        </w:rPr>
        <w:t>Art. 2</w:t>
      </w:r>
      <w:r w:rsidRPr="00023AEF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023AEF">
        <w:rPr>
          <w:rFonts w:ascii="Arial" w:hAnsi="Arial"/>
          <w:b/>
          <w:color w:val="auto"/>
          <w:sz w:val="24"/>
          <w:lang w:val="es-ES_tradnl"/>
        </w:rPr>
        <w:t>)</w:t>
      </w:r>
      <w:r w:rsidRPr="00023AEF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023AEF" w:rsidRPr="00023AEF" w:rsidRDefault="00023AEF" w:rsidP="00023AEF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023AEF" w:rsidRPr="00023AEF" w:rsidRDefault="00023AEF" w:rsidP="00023AEF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023AEF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023AEF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23AEF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023AEF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rgentes de la resolución CSU-876</w:t>
      </w:r>
      <w:r w:rsidRPr="00023AEF">
        <w:rPr>
          <w:rFonts w:ascii="Arial" w:hAnsi="Arial" w:cs="Arial"/>
          <w:color w:val="auto"/>
          <w:sz w:val="24"/>
          <w:szCs w:val="24"/>
          <w:lang w:val="es-AR" w:eastAsia="es-ES"/>
        </w:rPr>
        <w:t>/1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5</w:t>
      </w:r>
      <w:r w:rsidRPr="00023AEF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023AEF" w:rsidRPr="00023AEF" w:rsidRDefault="00023AEF" w:rsidP="00023AEF">
      <w:pPr>
        <w:spacing w:line="260" w:lineRule="exact"/>
        <w:jc w:val="both"/>
        <w:rPr>
          <w:rFonts w:ascii="Arial" w:hAnsi="Arial" w:cs="Arial"/>
          <w:color w:val="FF0000"/>
          <w:sz w:val="24"/>
          <w:szCs w:val="24"/>
          <w:lang w:val="es-AR" w:eastAsia="es-ES"/>
        </w:rPr>
      </w:pPr>
    </w:p>
    <w:p w:rsidR="00F50B48" w:rsidRPr="00AF321E" w:rsidRDefault="00F50B48" w:rsidP="00F50B48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AF321E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AF321E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3AEF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34B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76889"/>
    <w:rsid w:val="00381039"/>
    <w:rsid w:val="003817BE"/>
    <w:rsid w:val="00394D52"/>
    <w:rsid w:val="003C1741"/>
    <w:rsid w:val="003D22A1"/>
    <w:rsid w:val="003F1441"/>
    <w:rsid w:val="00402D5F"/>
    <w:rsid w:val="00426479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6082"/>
    <w:rsid w:val="00957F6C"/>
    <w:rsid w:val="00966C00"/>
    <w:rsid w:val="00967007"/>
    <w:rsid w:val="00983E7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3464"/>
    <w:rsid w:val="00C856CE"/>
    <w:rsid w:val="00CA404E"/>
    <w:rsid w:val="00CC7FDC"/>
    <w:rsid w:val="00CF3F17"/>
    <w:rsid w:val="00D17171"/>
    <w:rsid w:val="00D3152A"/>
    <w:rsid w:val="00D36099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138B8"/>
    <w:rsid w:val="00F24423"/>
    <w:rsid w:val="00F313D4"/>
    <w:rsid w:val="00F35112"/>
    <w:rsid w:val="00F50B48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