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98" w:rsidRPr="000A5098" w:rsidRDefault="00E464A6" w:rsidP="000A5098">
      <w:pPr>
        <w:widowControl w:val="0"/>
        <w:jc w:val="both"/>
        <w:rPr>
          <w:rFonts w:ascii="Arial" w:hAnsi="Arial"/>
          <w:b/>
          <w:lang w:val="es-ES"/>
        </w:rPr>
      </w:pPr>
      <w:r>
        <w:rPr>
          <w:rFonts w:ascii="Arial" w:hAnsi="Arial"/>
          <w:b/>
          <w:lang w:val="es-ES"/>
        </w:rPr>
        <w:t>REGISTRADO BAJO Nº CDCIC-</w:t>
      </w:r>
      <w:r w:rsidR="00207B88">
        <w:rPr>
          <w:rFonts w:ascii="Arial" w:hAnsi="Arial"/>
          <w:b/>
          <w:lang w:val="es-ES"/>
        </w:rPr>
        <w:t>XXX</w:t>
      </w:r>
      <w:r w:rsidR="0053080E">
        <w:rPr>
          <w:rFonts w:ascii="Arial" w:hAnsi="Arial"/>
          <w:b/>
          <w:lang w:val="es-ES"/>
        </w:rPr>
        <w:t>/16</w:t>
      </w:r>
    </w:p>
    <w:p w:rsidR="000A5098" w:rsidRPr="000A5098" w:rsidRDefault="000A5098" w:rsidP="000A5098">
      <w:pPr>
        <w:widowControl w:val="0"/>
        <w:tabs>
          <w:tab w:val="left" w:pos="1440"/>
          <w:tab w:val="left" w:pos="3600"/>
          <w:tab w:val="left" w:pos="3888"/>
          <w:tab w:val="left" w:pos="5040"/>
        </w:tabs>
        <w:rPr>
          <w:rFonts w:ascii="Arial" w:hAnsi="Arial"/>
          <w:lang w:val="es-ES"/>
        </w:rPr>
      </w:pPr>
    </w:p>
    <w:p w:rsidR="000A5098" w:rsidRPr="000A5098" w:rsidRDefault="000A5098" w:rsidP="000A5098">
      <w:pPr>
        <w:widowControl w:val="0"/>
        <w:tabs>
          <w:tab w:val="left" w:pos="1440"/>
          <w:tab w:val="left" w:pos="3600"/>
          <w:tab w:val="left" w:pos="3888"/>
          <w:tab w:val="left" w:pos="5040"/>
          <w:tab w:val="left" w:pos="5670"/>
        </w:tabs>
        <w:ind w:firstLine="5670"/>
        <w:rPr>
          <w:rFonts w:ascii="Arial" w:hAnsi="Arial"/>
          <w:lang w:val="es-ES"/>
        </w:rPr>
      </w:pPr>
      <w:r w:rsidRPr="000A5098">
        <w:rPr>
          <w:rFonts w:ascii="Arial" w:hAnsi="Arial"/>
          <w:b/>
          <w:lang w:val="es-ES"/>
        </w:rPr>
        <w:t>BAHIA BLANCA</w:t>
      </w:r>
      <w:r w:rsidRPr="000A5098">
        <w:rPr>
          <w:rFonts w:ascii="Arial" w:hAnsi="Arial"/>
          <w:lang w:val="es-ES"/>
        </w:rPr>
        <w:t xml:space="preserve">, </w:t>
      </w:r>
    </w:p>
    <w:p w:rsidR="000A5098" w:rsidRPr="000A5098" w:rsidRDefault="000A5098" w:rsidP="000A5098">
      <w:pPr>
        <w:widowControl w:val="0"/>
        <w:tabs>
          <w:tab w:val="left" w:pos="1440"/>
          <w:tab w:val="left" w:pos="3600"/>
          <w:tab w:val="left" w:pos="3888"/>
          <w:tab w:val="left" w:pos="5040"/>
        </w:tabs>
        <w:jc w:val="right"/>
        <w:rPr>
          <w:rFonts w:ascii="Arial" w:hAnsi="Arial"/>
          <w:lang w:val="es-ES"/>
        </w:rPr>
      </w:pPr>
    </w:p>
    <w:p w:rsidR="00EE0655" w:rsidRPr="00EE0655" w:rsidRDefault="00EE0655" w:rsidP="00EE0655">
      <w:pPr>
        <w:widowControl w:val="0"/>
        <w:tabs>
          <w:tab w:val="left" w:pos="1440"/>
          <w:tab w:val="left" w:pos="3600"/>
          <w:tab w:val="left" w:pos="3888"/>
          <w:tab w:val="left" w:pos="5040"/>
        </w:tabs>
        <w:jc w:val="both"/>
        <w:rPr>
          <w:rFonts w:ascii="Arial" w:hAnsi="Arial"/>
          <w:b/>
          <w:lang w:val="es-ES"/>
        </w:rPr>
      </w:pPr>
      <w:r w:rsidRPr="00EE0655">
        <w:rPr>
          <w:rFonts w:ascii="Arial" w:hAnsi="Arial"/>
          <w:b/>
          <w:lang w:val="es-ES"/>
        </w:rPr>
        <w:t>VISTO:</w:t>
      </w:r>
    </w:p>
    <w:p w:rsidR="00EE0655" w:rsidRPr="00EE0655" w:rsidRDefault="00EE0655" w:rsidP="00EE0655">
      <w:pPr>
        <w:rPr>
          <w:lang w:val="es-ES"/>
        </w:rPr>
      </w:pPr>
    </w:p>
    <w:p w:rsidR="00207B88" w:rsidRDefault="00207B88" w:rsidP="00207B88">
      <w:pPr>
        <w:ind w:firstLine="720"/>
        <w:jc w:val="both"/>
        <w:rPr>
          <w:rFonts w:ascii="Arial" w:hAnsi="Arial" w:cs="Arial"/>
          <w:lang w:val="es-ES"/>
        </w:rPr>
      </w:pPr>
      <w:r>
        <w:rPr>
          <w:rFonts w:ascii="Arial" w:hAnsi="Arial" w:cs="Arial"/>
          <w:lang w:val="es-ES"/>
        </w:rPr>
        <w:t xml:space="preserve">El Convenio Colectivo de Trabajo para los Docentes de Universidades Nacionales; </w:t>
      </w:r>
    </w:p>
    <w:p w:rsidR="00207B88" w:rsidRPr="00B30337" w:rsidRDefault="00207B88" w:rsidP="00207B88">
      <w:pPr>
        <w:ind w:firstLine="720"/>
        <w:jc w:val="both"/>
        <w:rPr>
          <w:rFonts w:ascii="Arial" w:hAnsi="Arial" w:cs="Arial"/>
          <w:lang w:val="es-ES"/>
        </w:rPr>
      </w:pPr>
    </w:p>
    <w:p w:rsidR="00034401" w:rsidRDefault="00207B88" w:rsidP="004063F8">
      <w:pPr>
        <w:ind w:firstLine="720"/>
        <w:jc w:val="both"/>
        <w:rPr>
          <w:rFonts w:ascii="Arial" w:hAnsi="Arial" w:cs="Arial"/>
          <w:lang w:val="es-ES"/>
        </w:rPr>
      </w:pPr>
      <w:r>
        <w:rPr>
          <w:rFonts w:ascii="Arial" w:hAnsi="Arial" w:cs="Arial"/>
          <w:lang w:val="es-ES"/>
        </w:rPr>
        <w:t>El Reglamento de Concursos de Asistentes y Ayudantes (Res CSU 512/10 y modificatorias CSU 309/16 y 353/16);</w:t>
      </w:r>
    </w:p>
    <w:p w:rsidR="00AA69D8" w:rsidRPr="00924FDC" w:rsidRDefault="00AA69D8" w:rsidP="002D6323">
      <w:pPr>
        <w:ind w:firstLine="720"/>
        <w:jc w:val="both"/>
        <w:rPr>
          <w:rFonts w:ascii="Arial" w:hAnsi="Arial" w:cs="Arial"/>
          <w:lang w:val="es-ES"/>
        </w:rPr>
      </w:pPr>
    </w:p>
    <w:p w:rsidR="002D6323" w:rsidRDefault="002D6323" w:rsidP="002D6323">
      <w:pPr>
        <w:widowControl w:val="0"/>
        <w:tabs>
          <w:tab w:val="left" w:pos="1440"/>
          <w:tab w:val="left" w:pos="3600"/>
          <w:tab w:val="left" w:pos="3888"/>
          <w:tab w:val="left" w:pos="5040"/>
        </w:tabs>
        <w:jc w:val="both"/>
        <w:rPr>
          <w:rFonts w:ascii="Arial" w:hAnsi="Arial"/>
          <w:b/>
          <w:lang w:val="es-ES_tradnl"/>
        </w:rPr>
      </w:pPr>
      <w:r>
        <w:rPr>
          <w:rFonts w:ascii="Arial" w:hAnsi="Arial"/>
          <w:b/>
          <w:lang w:val="es-ES_tradnl"/>
        </w:rPr>
        <w:t>CONSIDERANDO:</w:t>
      </w:r>
    </w:p>
    <w:p w:rsidR="002D6323" w:rsidRPr="00801260" w:rsidRDefault="002D6323" w:rsidP="002D6323">
      <w:pPr>
        <w:jc w:val="both"/>
        <w:rPr>
          <w:rFonts w:ascii="Arial" w:hAnsi="Arial" w:cs="Arial"/>
          <w:lang w:val="es-ES"/>
        </w:rPr>
      </w:pPr>
    </w:p>
    <w:p w:rsidR="00207B88" w:rsidRDefault="00207B88" w:rsidP="004063F8">
      <w:pPr>
        <w:spacing w:line="260" w:lineRule="exact"/>
        <w:ind w:firstLine="720"/>
        <w:jc w:val="both"/>
        <w:rPr>
          <w:rFonts w:ascii="Arial" w:hAnsi="Arial" w:cs="Arial"/>
          <w:lang w:val="es-ES"/>
        </w:rPr>
      </w:pPr>
      <w:r>
        <w:rPr>
          <w:rFonts w:ascii="Arial" w:hAnsi="Arial" w:cs="Arial"/>
          <w:lang w:val="es-ES"/>
        </w:rPr>
        <w:t>Que el mencionado Reglamento establece la modalidad y  de concurso “cerrado y en dos instancias” y reglamenta las pautas pertinentes;</w:t>
      </w:r>
    </w:p>
    <w:p w:rsidR="00207B88" w:rsidRDefault="00207B88" w:rsidP="004063F8">
      <w:pPr>
        <w:spacing w:line="260" w:lineRule="exact"/>
        <w:ind w:firstLine="720"/>
        <w:jc w:val="both"/>
        <w:rPr>
          <w:rFonts w:ascii="Arial" w:hAnsi="Arial" w:cs="Arial"/>
          <w:lang w:val="es-ES"/>
        </w:rPr>
      </w:pPr>
    </w:p>
    <w:p w:rsidR="00034401" w:rsidRPr="00EE0655" w:rsidRDefault="00207B88" w:rsidP="004063F8">
      <w:pPr>
        <w:spacing w:line="260" w:lineRule="exact"/>
        <w:ind w:firstLine="720"/>
        <w:jc w:val="both"/>
        <w:rPr>
          <w:rFonts w:ascii="Arial" w:hAnsi="Arial" w:cs="Arial"/>
          <w:lang w:val="es-ES"/>
        </w:rPr>
      </w:pPr>
      <w:r>
        <w:rPr>
          <w:rFonts w:ascii="Arial" w:hAnsi="Arial" w:cs="Arial"/>
          <w:lang w:val="es-ES"/>
        </w:rPr>
        <w:t xml:space="preserve">Que el Reglamento hace mención, en varios puntos, de </w:t>
      </w:r>
      <w:r w:rsidR="008B5A94">
        <w:rPr>
          <w:rFonts w:ascii="Arial" w:hAnsi="Arial" w:cs="Arial"/>
          <w:lang w:val="es-ES"/>
        </w:rPr>
        <w:t>aquellos</w:t>
      </w:r>
      <w:r>
        <w:rPr>
          <w:rFonts w:ascii="Arial" w:hAnsi="Arial" w:cs="Arial"/>
          <w:lang w:val="es-ES"/>
        </w:rPr>
        <w:t xml:space="preserve"> postulantes que “pertenecen </w:t>
      </w:r>
      <w:proofErr w:type="spellStart"/>
      <w:r>
        <w:rPr>
          <w:rFonts w:ascii="Arial" w:hAnsi="Arial" w:cs="Arial"/>
          <w:lang w:val="es-ES"/>
        </w:rPr>
        <w:t>a el</w:t>
      </w:r>
      <w:proofErr w:type="spellEnd"/>
      <w:r>
        <w:rPr>
          <w:rFonts w:ascii="Arial" w:hAnsi="Arial" w:cs="Arial"/>
          <w:lang w:val="es-ES"/>
        </w:rPr>
        <w:t>/las área/s a las que corresponda/n la/s asignatura/s a concursar”</w:t>
      </w:r>
      <w:r w:rsidR="008B5A94">
        <w:rPr>
          <w:rFonts w:ascii="Arial" w:hAnsi="Arial" w:cs="Arial"/>
          <w:lang w:val="es-ES"/>
        </w:rPr>
        <w:t>, por cuanto establece un puntaje por la antigüedad en un área</w:t>
      </w:r>
      <w:r w:rsidR="004063F8">
        <w:rPr>
          <w:rFonts w:ascii="Arial" w:hAnsi="Arial" w:cs="Arial"/>
          <w:lang w:val="es-ES"/>
        </w:rPr>
        <w:t xml:space="preserve">; </w:t>
      </w:r>
    </w:p>
    <w:p w:rsidR="00034401" w:rsidRPr="00B30337" w:rsidRDefault="00034401" w:rsidP="004063F8">
      <w:pPr>
        <w:jc w:val="both"/>
        <w:rPr>
          <w:rFonts w:ascii="Arial" w:hAnsi="Arial" w:cs="Arial"/>
          <w:lang w:val="es-ES"/>
        </w:rPr>
      </w:pPr>
    </w:p>
    <w:p w:rsidR="004063F8" w:rsidRDefault="00207B88" w:rsidP="004063F8">
      <w:pPr>
        <w:spacing w:line="260" w:lineRule="exact"/>
        <w:ind w:firstLine="720"/>
        <w:jc w:val="both"/>
        <w:rPr>
          <w:rFonts w:ascii="Arial" w:hAnsi="Arial" w:cs="Arial"/>
          <w:lang w:val="es-ES"/>
        </w:rPr>
      </w:pPr>
      <w:r>
        <w:rPr>
          <w:rFonts w:ascii="Arial" w:hAnsi="Arial" w:cs="Arial"/>
          <w:lang w:val="es-ES"/>
        </w:rPr>
        <w:t>Que la</w:t>
      </w:r>
      <w:r w:rsidR="00740127">
        <w:rPr>
          <w:rFonts w:ascii="Arial" w:hAnsi="Arial" w:cs="Arial"/>
          <w:lang w:val="es-ES"/>
        </w:rPr>
        <w:t>s áreas son unidades funcionales integradas por asignaturas afines a una disciplina, definidas por los Consejos Departamentales de acuerdo a su criterio particular</w:t>
      </w:r>
      <w:r w:rsidR="004063F8">
        <w:rPr>
          <w:rFonts w:ascii="Arial" w:hAnsi="Arial" w:cs="Arial"/>
          <w:lang w:val="es-ES"/>
        </w:rPr>
        <w:t>;</w:t>
      </w:r>
    </w:p>
    <w:p w:rsidR="00740127" w:rsidRDefault="00740127" w:rsidP="004063F8">
      <w:pPr>
        <w:spacing w:line="260" w:lineRule="exact"/>
        <w:ind w:firstLine="720"/>
        <w:jc w:val="both"/>
        <w:rPr>
          <w:rFonts w:ascii="Arial" w:hAnsi="Arial" w:cs="Arial"/>
          <w:lang w:val="es-ES"/>
        </w:rPr>
      </w:pPr>
    </w:p>
    <w:p w:rsidR="00740127" w:rsidRDefault="00740127" w:rsidP="004063F8">
      <w:pPr>
        <w:spacing w:line="260" w:lineRule="exact"/>
        <w:ind w:firstLine="720"/>
        <w:jc w:val="both"/>
        <w:rPr>
          <w:rFonts w:ascii="Arial" w:hAnsi="Arial" w:cs="Arial"/>
          <w:lang w:val="es-ES"/>
        </w:rPr>
      </w:pPr>
      <w:r>
        <w:rPr>
          <w:rFonts w:ascii="Arial" w:hAnsi="Arial" w:cs="Arial"/>
          <w:lang w:val="es-ES"/>
        </w:rPr>
        <w:t>Que de acuerdo a la Resolución CU</w:t>
      </w:r>
      <w:r w:rsidR="005841E7">
        <w:rPr>
          <w:rFonts w:ascii="Arial" w:hAnsi="Arial" w:cs="Arial"/>
          <w:lang w:val="es-ES"/>
        </w:rPr>
        <w:t>-</w:t>
      </w:r>
      <w:r>
        <w:rPr>
          <w:rFonts w:ascii="Arial" w:hAnsi="Arial" w:cs="Arial"/>
          <w:lang w:val="es-ES"/>
        </w:rPr>
        <w:t xml:space="preserve">017/92 se consideran integrantes del área a quienes </w:t>
      </w:r>
      <w:r w:rsidR="008B5A94">
        <w:rPr>
          <w:rFonts w:ascii="Arial" w:hAnsi="Arial" w:cs="Arial"/>
          <w:lang w:val="es-ES"/>
        </w:rPr>
        <w:t>“</w:t>
      </w:r>
      <w:r>
        <w:rPr>
          <w:rFonts w:ascii="Arial" w:hAnsi="Arial" w:cs="Arial"/>
          <w:lang w:val="es-ES"/>
        </w:rPr>
        <w:t>desempeñan funciones en la misma</w:t>
      </w:r>
      <w:r w:rsidR="008B5A94">
        <w:rPr>
          <w:rFonts w:ascii="Arial" w:hAnsi="Arial" w:cs="Arial"/>
          <w:lang w:val="es-ES"/>
        </w:rPr>
        <w:t>”</w:t>
      </w:r>
      <w:r>
        <w:rPr>
          <w:rFonts w:ascii="Arial" w:hAnsi="Arial" w:cs="Arial"/>
          <w:lang w:val="es-ES"/>
        </w:rPr>
        <w:t>;</w:t>
      </w:r>
    </w:p>
    <w:p w:rsidR="00740127" w:rsidRDefault="00740127" w:rsidP="004063F8">
      <w:pPr>
        <w:spacing w:line="260" w:lineRule="exact"/>
        <w:ind w:firstLine="720"/>
        <w:jc w:val="both"/>
        <w:rPr>
          <w:rFonts w:ascii="Arial" w:hAnsi="Arial" w:cs="Arial"/>
          <w:lang w:val="es-ES"/>
        </w:rPr>
      </w:pPr>
    </w:p>
    <w:p w:rsidR="00740127" w:rsidRDefault="00740127" w:rsidP="004063F8">
      <w:pPr>
        <w:spacing w:line="260" w:lineRule="exact"/>
        <w:ind w:firstLine="720"/>
        <w:jc w:val="both"/>
        <w:rPr>
          <w:rFonts w:ascii="Arial" w:hAnsi="Arial" w:cs="Arial"/>
          <w:lang w:val="es-ES"/>
        </w:rPr>
      </w:pPr>
      <w:r>
        <w:rPr>
          <w:rFonts w:ascii="Arial" w:hAnsi="Arial" w:cs="Arial"/>
          <w:lang w:val="es-ES"/>
        </w:rPr>
        <w:t xml:space="preserve">Que los docentes ordinarios del DCIC son designados en una asignatura del Departamento, pudiendo requerirse el cumplimiento de funciones en otra asignatura, ya sea por extensión en la designación o por razones de necesidad, urgencia u optimización de recursos humanos; </w:t>
      </w:r>
    </w:p>
    <w:p w:rsidR="00740127" w:rsidRDefault="00740127" w:rsidP="004063F8">
      <w:pPr>
        <w:spacing w:line="260" w:lineRule="exact"/>
        <w:ind w:firstLine="720"/>
        <w:jc w:val="both"/>
        <w:rPr>
          <w:rFonts w:ascii="Arial" w:hAnsi="Arial" w:cs="Arial"/>
          <w:lang w:val="es-ES"/>
        </w:rPr>
      </w:pPr>
    </w:p>
    <w:p w:rsidR="00740127" w:rsidRDefault="00740127" w:rsidP="004063F8">
      <w:pPr>
        <w:spacing w:line="260" w:lineRule="exact"/>
        <w:ind w:firstLine="720"/>
        <w:jc w:val="both"/>
        <w:rPr>
          <w:rFonts w:ascii="Arial" w:hAnsi="Arial" w:cs="Arial"/>
          <w:lang w:val="es-ES"/>
        </w:rPr>
      </w:pPr>
      <w:r>
        <w:rPr>
          <w:rFonts w:ascii="Arial" w:hAnsi="Arial" w:cs="Arial"/>
          <w:lang w:val="es-ES"/>
        </w:rPr>
        <w:t>Que por esta razón ha ocurrido que un docente cumpla funciones en asignaturas de un área, habiendo sido designado en una asignatura de otra área;</w:t>
      </w:r>
    </w:p>
    <w:p w:rsidR="006E5906" w:rsidRDefault="006E5906" w:rsidP="004063F8">
      <w:pPr>
        <w:spacing w:line="260" w:lineRule="exact"/>
        <w:ind w:firstLine="720"/>
        <w:jc w:val="both"/>
        <w:rPr>
          <w:rFonts w:ascii="Arial" w:hAnsi="Arial" w:cs="Arial"/>
          <w:lang w:val="es-ES"/>
        </w:rPr>
      </w:pPr>
    </w:p>
    <w:p w:rsidR="006E5906" w:rsidRDefault="006E5906" w:rsidP="004063F8">
      <w:pPr>
        <w:spacing w:line="260" w:lineRule="exact"/>
        <w:ind w:firstLine="720"/>
        <w:jc w:val="both"/>
        <w:rPr>
          <w:rFonts w:ascii="Arial" w:hAnsi="Arial" w:cs="Arial"/>
          <w:lang w:val="es-ES"/>
        </w:rPr>
      </w:pPr>
      <w:r>
        <w:rPr>
          <w:rFonts w:ascii="Arial" w:hAnsi="Arial" w:cs="Arial"/>
          <w:lang w:val="es-ES"/>
        </w:rPr>
        <w:t>Que esta situación se ha dado siempre con el consentimiento de los docentes involucrados y con la buena predisposición de los mismos en cumplir funciones en otras asignaturas;</w:t>
      </w:r>
    </w:p>
    <w:p w:rsidR="006E5906" w:rsidRDefault="006E5906" w:rsidP="004063F8">
      <w:pPr>
        <w:spacing w:line="260" w:lineRule="exact"/>
        <w:ind w:firstLine="720"/>
        <w:jc w:val="both"/>
        <w:rPr>
          <w:rFonts w:ascii="Arial" w:hAnsi="Arial" w:cs="Arial"/>
          <w:lang w:val="es-ES"/>
        </w:rPr>
      </w:pPr>
    </w:p>
    <w:p w:rsidR="006E5906" w:rsidRDefault="006E5906" w:rsidP="004063F8">
      <w:pPr>
        <w:spacing w:line="260" w:lineRule="exact"/>
        <w:ind w:firstLine="720"/>
        <w:jc w:val="both"/>
        <w:rPr>
          <w:rFonts w:ascii="Arial" w:hAnsi="Arial" w:cs="Arial"/>
          <w:lang w:val="es-ES"/>
        </w:rPr>
      </w:pPr>
      <w:r>
        <w:rPr>
          <w:rFonts w:ascii="Arial" w:hAnsi="Arial" w:cs="Arial"/>
          <w:lang w:val="es-ES"/>
        </w:rPr>
        <w:t>Que si un docente ha desempeñado funciones en el pasado en una asignatura particular, en la planificación de la distribución docente de cada cuatrimestre se tiene en cuenta este hecho por cuanto se lo considera familiarizado y preparado para cumplir eventualmente funciones en la misma asignatura</w:t>
      </w:r>
      <w:r w:rsidR="00EF7DB5">
        <w:rPr>
          <w:rFonts w:ascii="Arial" w:hAnsi="Arial" w:cs="Arial"/>
          <w:lang w:val="es-ES"/>
        </w:rPr>
        <w:t>, de ser esto necesario</w:t>
      </w:r>
      <w:r>
        <w:rPr>
          <w:rFonts w:ascii="Arial" w:hAnsi="Arial" w:cs="Arial"/>
          <w:lang w:val="es-ES"/>
        </w:rPr>
        <w:t>;</w:t>
      </w:r>
    </w:p>
    <w:p w:rsidR="00740127" w:rsidRDefault="00740127" w:rsidP="004063F8">
      <w:pPr>
        <w:spacing w:line="260" w:lineRule="exact"/>
        <w:ind w:firstLine="720"/>
        <w:jc w:val="both"/>
        <w:rPr>
          <w:rFonts w:ascii="Arial" w:hAnsi="Arial" w:cs="Arial"/>
          <w:lang w:val="es-ES"/>
        </w:rPr>
      </w:pPr>
    </w:p>
    <w:p w:rsidR="006E5906" w:rsidRDefault="006E5906" w:rsidP="004063F8">
      <w:pPr>
        <w:spacing w:line="260" w:lineRule="exact"/>
        <w:ind w:firstLine="720"/>
        <w:jc w:val="both"/>
        <w:rPr>
          <w:rFonts w:ascii="Arial" w:hAnsi="Arial" w:cs="Arial"/>
          <w:lang w:val="es-ES"/>
        </w:rPr>
      </w:pPr>
      <w:r>
        <w:rPr>
          <w:rFonts w:ascii="Arial" w:hAnsi="Arial" w:cs="Arial"/>
          <w:lang w:val="es-ES"/>
        </w:rPr>
        <w:t>Que la Foja de Servicios sólo menciona las asignaturas indicadas en las resoluciones de designación y no considera el servicio efectivo del docente de acuerdo a las necesidades del cuatrimestre;</w:t>
      </w:r>
    </w:p>
    <w:p w:rsidR="006E5906" w:rsidRDefault="006E5906" w:rsidP="004063F8">
      <w:pPr>
        <w:spacing w:line="260" w:lineRule="exact"/>
        <w:ind w:firstLine="720"/>
        <w:jc w:val="both"/>
        <w:rPr>
          <w:rFonts w:ascii="Arial" w:hAnsi="Arial" w:cs="Arial"/>
          <w:lang w:val="es-ES"/>
        </w:rPr>
      </w:pPr>
    </w:p>
    <w:p w:rsidR="00740127" w:rsidRDefault="00740127" w:rsidP="00593F39">
      <w:pPr>
        <w:spacing w:line="260" w:lineRule="exact"/>
        <w:ind w:firstLine="720"/>
        <w:jc w:val="both"/>
        <w:rPr>
          <w:rFonts w:ascii="Arial" w:hAnsi="Arial" w:cs="Arial"/>
          <w:lang w:val="es-ES"/>
        </w:rPr>
      </w:pPr>
      <w:r>
        <w:rPr>
          <w:rFonts w:ascii="Arial" w:hAnsi="Arial" w:cs="Arial"/>
          <w:lang w:val="es-ES"/>
        </w:rPr>
        <w:t xml:space="preserve">Que es </w:t>
      </w:r>
      <w:r w:rsidR="006E5906">
        <w:rPr>
          <w:rFonts w:ascii="Arial" w:hAnsi="Arial" w:cs="Arial"/>
          <w:lang w:val="es-ES"/>
        </w:rPr>
        <w:t>justo</w:t>
      </w:r>
      <w:r>
        <w:rPr>
          <w:rFonts w:ascii="Arial" w:hAnsi="Arial" w:cs="Arial"/>
          <w:lang w:val="es-ES"/>
        </w:rPr>
        <w:t xml:space="preserve"> considerar el servicio efectivo realizado por el docente en las asignaturas, más allá de la fórmula de designación y el registro de la Foja de Serv</w:t>
      </w:r>
      <w:r w:rsidR="006E5906">
        <w:rPr>
          <w:rFonts w:ascii="Arial" w:hAnsi="Arial" w:cs="Arial"/>
          <w:lang w:val="es-ES"/>
        </w:rPr>
        <w:t>icios, cuando el docente se expone a la evaluación de sus antecedentes;</w:t>
      </w:r>
    </w:p>
    <w:p w:rsidR="00EE0655" w:rsidRPr="00EE0655" w:rsidRDefault="00EE0655" w:rsidP="00EE0655">
      <w:pPr>
        <w:tabs>
          <w:tab w:val="left" w:pos="5670"/>
        </w:tabs>
        <w:jc w:val="both"/>
        <w:rPr>
          <w:rFonts w:ascii="Arial" w:hAnsi="Arial"/>
          <w:b/>
          <w:lang w:val="es-AR"/>
        </w:rPr>
      </w:pPr>
      <w:r w:rsidRPr="00EE0655">
        <w:rPr>
          <w:rFonts w:ascii="Arial" w:hAnsi="Arial"/>
          <w:b/>
          <w:lang w:val="es-AR"/>
        </w:rPr>
        <w:lastRenderedPageBreak/>
        <w:t>POR ELLO,</w:t>
      </w:r>
    </w:p>
    <w:p w:rsidR="00EE0655" w:rsidRPr="00EE0655" w:rsidRDefault="00EE0655" w:rsidP="00EE0655">
      <w:pPr>
        <w:rPr>
          <w:rFonts w:ascii="Arial" w:hAnsi="Arial" w:cs="Arial"/>
          <w:b/>
          <w:bCs/>
          <w:lang w:val="es-AR"/>
        </w:rPr>
      </w:pPr>
    </w:p>
    <w:p w:rsidR="00EE0655" w:rsidRPr="00EE0655" w:rsidRDefault="00EE0655" w:rsidP="00EE0655">
      <w:pPr>
        <w:tabs>
          <w:tab w:val="left" w:pos="8080"/>
        </w:tabs>
        <w:ind w:firstLine="1418"/>
        <w:jc w:val="both"/>
        <w:rPr>
          <w:rFonts w:ascii="Arial" w:hAnsi="Arial"/>
          <w:b/>
          <w:szCs w:val="20"/>
          <w:lang w:val="es-ES"/>
        </w:rPr>
      </w:pPr>
      <w:r w:rsidRPr="00EE0655">
        <w:rPr>
          <w:rFonts w:ascii="Arial" w:hAnsi="Arial"/>
          <w:b/>
          <w:szCs w:val="20"/>
          <w:lang w:val="es-ES"/>
        </w:rPr>
        <w:t>El Consejo Departamental de Ciencias e Ingeniería de la Computación en su reunión de</w:t>
      </w:r>
      <w:r w:rsidR="000552D1">
        <w:rPr>
          <w:rFonts w:ascii="Arial" w:hAnsi="Arial"/>
          <w:b/>
          <w:szCs w:val="20"/>
          <w:lang w:val="es-ES"/>
        </w:rPr>
        <w:t xml:space="preserve"> fecha </w:t>
      </w:r>
      <w:r w:rsidR="0053080E">
        <w:rPr>
          <w:rFonts w:ascii="Arial" w:hAnsi="Arial"/>
          <w:b/>
          <w:szCs w:val="20"/>
          <w:lang w:val="es-ES"/>
        </w:rPr>
        <w:t>13 de diciembre</w:t>
      </w:r>
      <w:r w:rsidR="00AF54CC">
        <w:rPr>
          <w:rFonts w:ascii="Arial" w:hAnsi="Arial"/>
          <w:b/>
          <w:szCs w:val="20"/>
          <w:lang w:val="es-ES"/>
        </w:rPr>
        <w:t xml:space="preserve"> de</w:t>
      </w:r>
      <w:r w:rsidR="0053080E">
        <w:rPr>
          <w:rFonts w:ascii="Arial" w:hAnsi="Arial"/>
          <w:b/>
          <w:szCs w:val="20"/>
          <w:lang w:val="es-ES"/>
        </w:rPr>
        <w:t xml:space="preserve"> 2016</w:t>
      </w:r>
    </w:p>
    <w:p w:rsidR="00EE0655" w:rsidRPr="00EE0655" w:rsidRDefault="00EE0655" w:rsidP="00EE0655">
      <w:pPr>
        <w:rPr>
          <w:lang w:val="es-ES"/>
        </w:rPr>
      </w:pPr>
    </w:p>
    <w:p w:rsidR="00463A07" w:rsidRDefault="00463A07" w:rsidP="00463A07">
      <w:pPr>
        <w:jc w:val="both"/>
        <w:rPr>
          <w:rFonts w:ascii="Arial" w:hAnsi="Arial" w:cs="Arial"/>
          <w:lang w:val="es-ES"/>
        </w:rPr>
      </w:pPr>
    </w:p>
    <w:p w:rsidR="00867529" w:rsidRDefault="00034401" w:rsidP="00034401">
      <w:pPr>
        <w:spacing w:line="260" w:lineRule="exact"/>
        <w:jc w:val="both"/>
        <w:rPr>
          <w:rFonts w:ascii="Arial" w:hAnsi="Arial" w:cs="Arial"/>
          <w:lang w:val="es-ES_tradnl"/>
        </w:rPr>
      </w:pPr>
      <w:r w:rsidRPr="00620CC8">
        <w:rPr>
          <w:rFonts w:ascii="Arial" w:hAnsi="Arial" w:cs="Arial"/>
          <w:b/>
          <w:bCs/>
          <w:lang w:val="es-ES_tradnl"/>
        </w:rPr>
        <w:t>Art. 1</w:t>
      </w:r>
      <w:r w:rsidRPr="00620CC8">
        <w:rPr>
          <w:rFonts w:ascii="Arial" w:hAnsi="Arial" w:cs="Arial"/>
          <w:b/>
          <w:bCs/>
          <w:lang w:val="es-ES_tradnl"/>
        </w:rPr>
        <w:sym w:font="Symbol" w:char="F0B0"/>
      </w:r>
      <w:r w:rsidRPr="00620CC8">
        <w:rPr>
          <w:rFonts w:ascii="Arial" w:hAnsi="Arial" w:cs="Arial"/>
          <w:b/>
          <w:bCs/>
          <w:lang w:val="es-ES_tradnl"/>
        </w:rPr>
        <w:t>).-</w:t>
      </w:r>
      <w:r w:rsidRPr="00620CC8">
        <w:rPr>
          <w:rFonts w:ascii="Arial" w:hAnsi="Arial" w:cs="Arial"/>
          <w:lang w:val="es-ES_tradnl"/>
        </w:rPr>
        <w:t xml:space="preserve"> </w:t>
      </w:r>
      <w:r w:rsidR="00EF7DB5">
        <w:rPr>
          <w:rFonts w:ascii="Arial" w:hAnsi="Arial" w:cs="Arial"/>
          <w:lang w:val="es-ES_tradnl"/>
        </w:rPr>
        <w:t xml:space="preserve"> Se considera, exclusivamente a los fines del cálculo de la antigüedad </w:t>
      </w:r>
      <w:r w:rsidR="008B5A94">
        <w:rPr>
          <w:rFonts w:ascii="Arial" w:hAnsi="Arial" w:cs="Arial"/>
          <w:lang w:val="es-ES_tradnl"/>
        </w:rPr>
        <w:t xml:space="preserve">establecido </w:t>
      </w:r>
      <w:r w:rsidR="00EF7DB5">
        <w:rPr>
          <w:rFonts w:ascii="Arial" w:hAnsi="Arial" w:cs="Arial"/>
          <w:lang w:val="es-ES_tradnl"/>
        </w:rPr>
        <w:t xml:space="preserve">en </w:t>
      </w:r>
      <w:r w:rsidR="008B5A94">
        <w:rPr>
          <w:rFonts w:ascii="Arial" w:hAnsi="Arial" w:cs="Arial"/>
          <w:lang w:val="es-ES_tradnl"/>
        </w:rPr>
        <w:t>el Artículo 34 inciso (b) d</w:t>
      </w:r>
      <w:r w:rsidR="00EF7DB5">
        <w:rPr>
          <w:rFonts w:ascii="Arial" w:hAnsi="Arial" w:cs="Arial"/>
          <w:lang w:val="es-ES_tradnl"/>
        </w:rPr>
        <w:t>el Reglamento de Concursos de Asistentes y Ayudantes, que un docente cumple funciones en un área si ha cumplido funciones en una asignatura del área en los últimos diez años.</w:t>
      </w:r>
    </w:p>
    <w:p w:rsidR="006654B1" w:rsidRPr="00B30337" w:rsidRDefault="006654B1" w:rsidP="00034401">
      <w:pPr>
        <w:spacing w:line="260" w:lineRule="exact"/>
        <w:jc w:val="both"/>
        <w:rPr>
          <w:rFonts w:ascii="Arial" w:hAnsi="Arial" w:cs="Arial"/>
          <w:lang w:val="es-ES"/>
        </w:rPr>
      </w:pPr>
    </w:p>
    <w:p w:rsidR="00593F39" w:rsidRPr="00593F39" w:rsidRDefault="006654B1" w:rsidP="00593F39">
      <w:pPr>
        <w:tabs>
          <w:tab w:val="left" w:pos="5670"/>
        </w:tabs>
        <w:jc w:val="both"/>
        <w:rPr>
          <w:rFonts w:ascii="Arial" w:hAnsi="Arial" w:cs="Arial"/>
          <w:szCs w:val="20"/>
          <w:lang w:val="es-ES_tradnl" w:eastAsia="es-ES"/>
        </w:rPr>
      </w:pPr>
      <w:r>
        <w:rPr>
          <w:rFonts w:ascii="Arial" w:hAnsi="Arial" w:cs="Arial"/>
          <w:b/>
          <w:bCs/>
          <w:lang w:val="es-ES"/>
        </w:rPr>
        <w:t xml:space="preserve">Art. </w:t>
      </w:r>
      <w:r w:rsidR="00EF7DB5">
        <w:rPr>
          <w:rFonts w:ascii="Arial" w:hAnsi="Arial" w:cs="Arial"/>
          <w:b/>
          <w:bCs/>
          <w:lang w:val="es-ES"/>
        </w:rPr>
        <w:t>2</w:t>
      </w:r>
      <w:r w:rsidR="00034401" w:rsidRPr="00B30337">
        <w:rPr>
          <w:rFonts w:ascii="Arial" w:hAnsi="Arial" w:cs="Arial"/>
          <w:b/>
          <w:bCs/>
          <w:lang w:val="es-ES"/>
        </w:rPr>
        <w:t xml:space="preserve">º).- </w:t>
      </w:r>
      <w:r w:rsidR="00593F39" w:rsidRPr="00593F39">
        <w:rPr>
          <w:rFonts w:ascii="Arial" w:hAnsi="Arial" w:cs="Arial"/>
          <w:szCs w:val="20"/>
          <w:lang w:val="es-ES_tradnl" w:eastAsia="es-ES"/>
        </w:rPr>
        <w:t>Regístrese;  Comuníquese, cumplido, archívese.-----------------------------------------</w:t>
      </w:r>
    </w:p>
    <w:p w:rsidR="00656461" w:rsidRPr="00656461" w:rsidRDefault="00656461" w:rsidP="00593F39">
      <w:pPr>
        <w:spacing w:after="120" w:line="260" w:lineRule="exact"/>
        <w:jc w:val="both"/>
        <w:rPr>
          <w:rFonts w:ascii="Arial" w:hAnsi="Arial"/>
          <w:szCs w:val="20"/>
          <w:lang w:val="es-ES_tradnl"/>
        </w:rPr>
      </w:pPr>
    </w:p>
    <w:p w:rsidR="00A03FF3" w:rsidRPr="00473EFE" w:rsidRDefault="00A03FF3" w:rsidP="00656461">
      <w:pPr>
        <w:jc w:val="both"/>
        <w:rPr>
          <w:lang w:val="es-ES"/>
        </w:rPr>
      </w:pPr>
    </w:p>
    <w:sectPr w:rsidR="00A03FF3" w:rsidRPr="00473EFE" w:rsidSect="000A5098">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BF3C31"/>
    <w:multiLevelType w:val="hybridMultilevel"/>
    <w:tmpl w:val="E7A43D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73ED22DD"/>
    <w:multiLevelType w:val="hybridMultilevel"/>
    <w:tmpl w:val="D6680C6E"/>
    <w:lvl w:ilvl="0" w:tplc="5A7CBA2C">
      <w:start w:val="10"/>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EEB"/>
    <w:rsid w:val="0002660B"/>
    <w:rsid w:val="00034401"/>
    <w:rsid w:val="000552D1"/>
    <w:rsid w:val="00094CFB"/>
    <w:rsid w:val="000A05D3"/>
    <w:rsid w:val="000A5098"/>
    <w:rsid w:val="000E466D"/>
    <w:rsid w:val="001123AA"/>
    <w:rsid w:val="00120BC5"/>
    <w:rsid w:val="001743BE"/>
    <w:rsid w:val="00196E61"/>
    <w:rsid w:val="001A136B"/>
    <w:rsid w:val="001F1AFF"/>
    <w:rsid w:val="00205021"/>
    <w:rsid w:val="00207B88"/>
    <w:rsid w:val="002D6323"/>
    <w:rsid w:val="00305C97"/>
    <w:rsid w:val="0031431D"/>
    <w:rsid w:val="0031578F"/>
    <w:rsid w:val="003473E6"/>
    <w:rsid w:val="00393AB7"/>
    <w:rsid w:val="003C5E4D"/>
    <w:rsid w:val="004063F8"/>
    <w:rsid w:val="00456A74"/>
    <w:rsid w:val="00463A07"/>
    <w:rsid w:val="00473EFE"/>
    <w:rsid w:val="0053080E"/>
    <w:rsid w:val="005753ED"/>
    <w:rsid w:val="00581D37"/>
    <w:rsid w:val="005841E7"/>
    <w:rsid w:val="00593F39"/>
    <w:rsid w:val="00620CC8"/>
    <w:rsid w:val="00656461"/>
    <w:rsid w:val="006654B1"/>
    <w:rsid w:val="006E5906"/>
    <w:rsid w:val="006E5C5C"/>
    <w:rsid w:val="00740127"/>
    <w:rsid w:val="00781C58"/>
    <w:rsid w:val="00867529"/>
    <w:rsid w:val="008920BC"/>
    <w:rsid w:val="008A62E3"/>
    <w:rsid w:val="008B5A94"/>
    <w:rsid w:val="00922D67"/>
    <w:rsid w:val="009A5865"/>
    <w:rsid w:val="009D04B1"/>
    <w:rsid w:val="009D2F15"/>
    <w:rsid w:val="009D4EF5"/>
    <w:rsid w:val="009F5FFE"/>
    <w:rsid w:val="00A03E95"/>
    <w:rsid w:val="00A03FF3"/>
    <w:rsid w:val="00AA69D8"/>
    <w:rsid w:val="00AB0943"/>
    <w:rsid w:val="00AC64CE"/>
    <w:rsid w:val="00AF54CC"/>
    <w:rsid w:val="00B02DC7"/>
    <w:rsid w:val="00B43A29"/>
    <w:rsid w:val="00B46BD4"/>
    <w:rsid w:val="00B84B85"/>
    <w:rsid w:val="00BA51E0"/>
    <w:rsid w:val="00BC6701"/>
    <w:rsid w:val="00C452DD"/>
    <w:rsid w:val="00CB21A7"/>
    <w:rsid w:val="00CE5960"/>
    <w:rsid w:val="00D1653B"/>
    <w:rsid w:val="00D80690"/>
    <w:rsid w:val="00DA1A9B"/>
    <w:rsid w:val="00DC3945"/>
    <w:rsid w:val="00E00505"/>
    <w:rsid w:val="00E44EA0"/>
    <w:rsid w:val="00E464A6"/>
    <w:rsid w:val="00E84921"/>
    <w:rsid w:val="00EB32F4"/>
    <w:rsid w:val="00EE0655"/>
    <w:rsid w:val="00EF7DB5"/>
    <w:rsid w:val="00F01CBD"/>
    <w:rsid w:val="00F7471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 w:type="paragraph" w:styleId="Textoindependiente">
    <w:name w:val="Body Text"/>
    <w:basedOn w:val="Normal"/>
    <w:link w:val="TextoindependienteCar"/>
    <w:rsid w:val="00463A07"/>
    <w:pPr>
      <w:spacing w:after="120"/>
    </w:pPr>
  </w:style>
  <w:style w:type="character" w:customStyle="1" w:styleId="TextoindependienteCar">
    <w:name w:val="Texto independiente Car"/>
    <w:link w:val="Textoindependiente"/>
    <w:rsid w:val="00463A07"/>
    <w:rPr>
      <w:sz w:val="24"/>
      <w:szCs w:val="24"/>
      <w:lang w:val="en-US" w:eastAsia="en-US"/>
    </w:rPr>
  </w:style>
  <w:style w:type="paragraph" w:styleId="Textodeglobo">
    <w:name w:val="Balloon Text"/>
    <w:basedOn w:val="Normal"/>
    <w:link w:val="TextodegloboCar"/>
    <w:rsid w:val="00E464A6"/>
    <w:rPr>
      <w:rFonts w:ascii="Segoe UI" w:hAnsi="Segoe UI" w:cs="Segoe UI"/>
      <w:sz w:val="18"/>
      <w:szCs w:val="18"/>
    </w:rPr>
  </w:style>
  <w:style w:type="character" w:customStyle="1" w:styleId="TextodegloboCar">
    <w:name w:val="Texto de globo Car"/>
    <w:link w:val="Textodeglobo"/>
    <w:rsid w:val="00E464A6"/>
    <w:rPr>
      <w:rFonts w:ascii="Segoe UI"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2364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DCC</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2016-12-14T15:40:00Z</cp:lastPrinted>
  <dcterms:created xsi:type="dcterms:W3CDTF">2025-07-06T18:34:00Z</dcterms:created>
  <dcterms:modified xsi:type="dcterms:W3CDTF">2025-07-06T18:34:00Z</dcterms:modified>
</cp:coreProperties>
</file>