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147BE" w:rsidRDefault="00A47E93">
      <w:pPr>
        <w:pStyle w:val="Ttulo1"/>
        <w:rPr>
          <w:lang w:val="es-AR"/>
        </w:rPr>
      </w:pPr>
      <w:r w:rsidRPr="005147BE">
        <w:rPr>
          <w:lang w:val="es-AR"/>
        </w:rPr>
        <w:t xml:space="preserve">REGISTRADO BAJO Nº  </w:t>
      </w:r>
      <w:r w:rsidR="005452AA" w:rsidRPr="005147BE">
        <w:rPr>
          <w:lang w:val="es-AR"/>
        </w:rPr>
        <w:t>C</w:t>
      </w:r>
      <w:r w:rsidR="00792B0C" w:rsidRPr="005147BE">
        <w:rPr>
          <w:lang w:val="es-AR"/>
        </w:rPr>
        <w:t>DCIC-</w:t>
      </w:r>
      <w:r w:rsidR="001F44A6" w:rsidRPr="005147BE">
        <w:rPr>
          <w:lang w:val="es-AR"/>
        </w:rPr>
        <w:t>164</w:t>
      </w:r>
      <w:r w:rsidR="00134DA0" w:rsidRPr="005147BE">
        <w:rPr>
          <w:lang w:val="es-AR"/>
        </w:rPr>
        <w:t>/</w:t>
      </w:r>
      <w:r w:rsidR="00DF3816" w:rsidRPr="005147BE">
        <w:rPr>
          <w:lang w:val="es-AR"/>
        </w:rPr>
        <w:t>1</w:t>
      </w:r>
      <w:r w:rsidR="00CA1C6A" w:rsidRPr="005147BE">
        <w:rPr>
          <w:lang w:val="es-AR"/>
        </w:rPr>
        <w:t>7</w:t>
      </w:r>
    </w:p>
    <w:p w:rsidR="00E15A47" w:rsidRPr="005147BE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Pr="005147B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5147BE">
        <w:rPr>
          <w:rFonts w:ascii="Arial" w:hAnsi="Arial"/>
          <w:b/>
          <w:sz w:val="24"/>
          <w:lang w:val="es-AR"/>
        </w:rPr>
        <w:t>BAHIA BLANCA</w:t>
      </w:r>
      <w:r w:rsidRPr="005147BE">
        <w:rPr>
          <w:rFonts w:ascii="Arial" w:hAnsi="Arial"/>
          <w:sz w:val="24"/>
          <w:lang w:val="es-AR"/>
        </w:rPr>
        <w:t xml:space="preserve">, </w:t>
      </w:r>
    </w:p>
    <w:p w:rsidR="0076428E" w:rsidRPr="005147BE" w:rsidRDefault="0076428E" w:rsidP="0076428E">
      <w:pPr>
        <w:jc w:val="both"/>
        <w:rPr>
          <w:rFonts w:ascii="Arial" w:hAnsi="Arial" w:cs="Arial"/>
          <w:b/>
          <w:snapToGrid/>
          <w:sz w:val="24"/>
          <w:lang w:val="es-AR"/>
        </w:rPr>
      </w:pPr>
      <w:r w:rsidRPr="005147BE">
        <w:rPr>
          <w:rFonts w:ascii="Arial" w:hAnsi="Arial" w:cs="Arial"/>
          <w:b/>
          <w:snapToGrid/>
          <w:sz w:val="24"/>
          <w:lang w:val="es-AR"/>
        </w:rPr>
        <w:t>VISTO:</w:t>
      </w:r>
    </w:p>
    <w:p w:rsidR="0076428E" w:rsidRPr="005147BE" w:rsidRDefault="0076428E" w:rsidP="0076428E">
      <w:pPr>
        <w:rPr>
          <w:rFonts w:ascii="Arial" w:hAnsi="Arial" w:cs="Arial"/>
          <w:snapToGrid/>
          <w:sz w:val="24"/>
          <w:lang w:val="es-AR"/>
        </w:rPr>
      </w:pPr>
    </w:p>
    <w:p w:rsidR="00F858FD" w:rsidRPr="005147BE" w:rsidRDefault="00F858FD" w:rsidP="00F858F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 xml:space="preserve">El Reglamento General de Expedición y Entrega de Títulos, Diplomas y Certificaciones de Estudios de Egresados y Graduados (Resol. R-899/16); </w:t>
      </w:r>
    </w:p>
    <w:p w:rsidR="00F858FD" w:rsidRPr="005147BE" w:rsidRDefault="00F858FD" w:rsidP="00F858F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F858FD" w:rsidRPr="005147BE" w:rsidRDefault="00F858FD" w:rsidP="00F858F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>La Resolución CSU-419/17 que establece el procedimiento para la entrega de un “</w:t>
      </w:r>
      <w:r w:rsidRPr="005147BE">
        <w:rPr>
          <w:rFonts w:ascii="Arial" w:hAnsi="Arial"/>
          <w:i/>
          <w:snapToGrid/>
          <w:sz w:val="24"/>
          <w:lang w:val="es-AR"/>
        </w:rPr>
        <w:t xml:space="preserve">Diploma Post </w:t>
      </w:r>
      <w:proofErr w:type="spellStart"/>
      <w:r w:rsidRPr="005147BE">
        <w:rPr>
          <w:rFonts w:ascii="Arial" w:hAnsi="Arial"/>
          <w:i/>
          <w:snapToGrid/>
          <w:sz w:val="24"/>
          <w:lang w:val="es-AR"/>
        </w:rPr>
        <w:t>Morten</w:t>
      </w:r>
      <w:proofErr w:type="spellEnd"/>
      <w:r w:rsidRPr="005147BE">
        <w:rPr>
          <w:rFonts w:ascii="Arial" w:hAnsi="Arial"/>
          <w:i/>
          <w:snapToGrid/>
          <w:sz w:val="24"/>
          <w:lang w:val="es-AR"/>
        </w:rPr>
        <w:t>”</w:t>
      </w:r>
      <w:r w:rsidRPr="005147BE">
        <w:rPr>
          <w:rFonts w:ascii="Arial" w:hAnsi="Arial"/>
          <w:snapToGrid/>
          <w:sz w:val="24"/>
          <w:lang w:val="es-AR"/>
        </w:rPr>
        <w:t xml:space="preserve"> al familiar de un egresado fallecido; </w:t>
      </w:r>
    </w:p>
    <w:p w:rsidR="00F858FD" w:rsidRPr="005147BE" w:rsidRDefault="00F858FD" w:rsidP="00F858F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F858FD" w:rsidRPr="005147BE" w:rsidRDefault="00F858FD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 xml:space="preserve">La Resolución CDCIC-006/17 mediante la cual se solicitó a la Secretaría de Posgrado y Educación Continua el otorgamiento </w:t>
      </w:r>
      <w:r w:rsidRPr="005147BE">
        <w:rPr>
          <w:rFonts w:ascii="Arial" w:hAnsi="Arial"/>
          <w:i/>
          <w:snapToGrid/>
          <w:sz w:val="24"/>
          <w:lang w:val="es-AR"/>
        </w:rPr>
        <w:t xml:space="preserve">Post </w:t>
      </w:r>
      <w:proofErr w:type="spellStart"/>
      <w:r w:rsidRPr="005147BE">
        <w:rPr>
          <w:rFonts w:ascii="Arial" w:hAnsi="Arial"/>
          <w:i/>
          <w:snapToGrid/>
          <w:sz w:val="24"/>
          <w:lang w:val="es-AR"/>
        </w:rPr>
        <w:t>Morten</w:t>
      </w:r>
      <w:proofErr w:type="spellEnd"/>
      <w:r w:rsidRPr="005147BE">
        <w:rPr>
          <w:rFonts w:ascii="Arial" w:hAnsi="Arial"/>
          <w:snapToGrid/>
          <w:sz w:val="24"/>
          <w:lang w:val="es-AR"/>
        </w:rPr>
        <w:t xml:space="preserve"> del título de Doctor en Ciencias de la Computación al Lic. José Rodolfo Romero; </w:t>
      </w:r>
    </w:p>
    <w:p w:rsidR="00F858FD" w:rsidRPr="005147BE" w:rsidRDefault="00F858FD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AE5663" w:rsidRPr="005147BE" w:rsidRDefault="004D5D75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 xml:space="preserve">La nota presentada por el Dr. Ignacio </w:t>
      </w:r>
      <w:proofErr w:type="spellStart"/>
      <w:r w:rsidRPr="005147BE">
        <w:rPr>
          <w:rFonts w:ascii="Arial" w:hAnsi="Arial"/>
          <w:snapToGrid/>
          <w:sz w:val="24"/>
          <w:lang w:val="es-AR"/>
        </w:rPr>
        <w:t>Ponzoni</w:t>
      </w:r>
      <w:proofErr w:type="spellEnd"/>
      <w:r w:rsidRPr="005147BE">
        <w:rPr>
          <w:rFonts w:ascii="Arial" w:hAnsi="Arial"/>
          <w:snapToGrid/>
          <w:sz w:val="24"/>
          <w:lang w:val="es-AR"/>
        </w:rPr>
        <w:t xml:space="preserve">, Secretario de </w:t>
      </w:r>
      <w:r w:rsidR="00F858FD" w:rsidRPr="005147BE">
        <w:rPr>
          <w:rFonts w:ascii="Arial" w:hAnsi="Arial"/>
          <w:snapToGrid/>
          <w:sz w:val="24"/>
          <w:lang w:val="es-AR"/>
        </w:rPr>
        <w:t xml:space="preserve">Investigación y Posgrado del Departamento de Ciencias e Ingeniería de la Computación, solicitando que se exceptúe al Lic. Romero del trámite de defensa oral debido a su fallecimiento;  </w:t>
      </w:r>
    </w:p>
    <w:p w:rsidR="00F858FD" w:rsidRPr="005147BE" w:rsidRDefault="00F858FD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76428E" w:rsidRPr="005147B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AR"/>
        </w:rPr>
      </w:pPr>
      <w:r w:rsidRPr="005147BE">
        <w:rPr>
          <w:rFonts w:ascii="Arial" w:hAnsi="Arial"/>
          <w:b/>
          <w:snapToGrid/>
          <w:sz w:val="24"/>
          <w:lang w:val="es-AR"/>
        </w:rPr>
        <w:t>y</w:t>
      </w:r>
      <w:r w:rsidR="004B6A10" w:rsidRPr="005147BE">
        <w:rPr>
          <w:rFonts w:ascii="Arial" w:hAnsi="Arial"/>
          <w:b/>
          <w:snapToGrid/>
          <w:sz w:val="24"/>
          <w:lang w:val="es-AR"/>
        </w:rPr>
        <w:t xml:space="preserve"> </w:t>
      </w:r>
      <w:r w:rsidR="0076428E" w:rsidRPr="005147BE">
        <w:rPr>
          <w:rFonts w:ascii="Arial" w:hAnsi="Arial"/>
          <w:b/>
          <w:snapToGrid/>
          <w:sz w:val="24"/>
          <w:lang w:val="es-AR"/>
        </w:rPr>
        <w:t>CONSIDERANDO:</w:t>
      </w:r>
    </w:p>
    <w:p w:rsidR="0076428E" w:rsidRPr="005147B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76428E" w:rsidRPr="005147BE" w:rsidRDefault="0076428E" w:rsidP="00BC6A29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>Que</w:t>
      </w:r>
      <w:r w:rsidR="00AE5663" w:rsidRPr="005147BE">
        <w:rPr>
          <w:rFonts w:ascii="Arial" w:hAnsi="Arial"/>
          <w:snapToGrid/>
          <w:sz w:val="24"/>
          <w:lang w:val="es-AR"/>
        </w:rPr>
        <w:t xml:space="preserve"> </w:t>
      </w:r>
      <w:r w:rsidR="00BC6A29" w:rsidRPr="005147BE">
        <w:rPr>
          <w:rFonts w:ascii="Arial" w:hAnsi="Arial"/>
          <w:snapToGrid/>
          <w:sz w:val="24"/>
          <w:lang w:val="es-AR"/>
        </w:rPr>
        <w:t>el Reglamento de Estudios de Posgrados Académicos (Resol. CSU-712/12) en su</w:t>
      </w:r>
      <w:r w:rsidR="00AE5663" w:rsidRPr="005147BE">
        <w:rPr>
          <w:rFonts w:ascii="Arial" w:hAnsi="Arial"/>
          <w:snapToGrid/>
          <w:sz w:val="24"/>
          <w:lang w:val="es-AR"/>
        </w:rPr>
        <w:t xml:space="preserve"> Art. 10</w:t>
      </w:r>
      <w:r w:rsidR="001F44A6" w:rsidRPr="005147BE">
        <w:rPr>
          <w:rFonts w:ascii="Arial" w:hAnsi="Arial"/>
          <w:snapToGrid/>
          <w:sz w:val="24"/>
          <w:lang w:val="es-AR"/>
        </w:rPr>
        <w:t>º)</w:t>
      </w:r>
      <w:r w:rsidR="00AE5663" w:rsidRPr="005147BE">
        <w:rPr>
          <w:rFonts w:ascii="Arial" w:hAnsi="Arial"/>
          <w:snapToGrid/>
          <w:sz w:val="24"/>
          <w:lang w:val="es-AR"/>
        </w:rPr>
        <w:t xml:space="preserve"> establece que para obtener el grado de Doctor el alumno deberá realizar un trabajo de tesis bajo la supervisión de</w:t>
      </w:r>
      <w:r w:rsidR="00500EB1">
        <w:rPr>
          <w:rFonts w:ascii="Arial" w:hAnsi="Arial"/>
          <w:snapToGrid/>
          <w:sz w:val="24"/>
          <w:lang w:val="es-AR"/>
        </w:rPr>
        <w:t xml:space="preserve"> un director, el cual deberá ser evaluado</w:t>
      </w:r>
      <w:r w:rsidR="00AE5663" w:rsidRPr="005147BE">
        <w:rPr>
          <w:rFonts w:ascii="Arial" w:hAnsi="Arial"/>
          <w:snapToGrid/>
          <w:sz w:val="24"/>
          <w:lang w:val="es-AR"/>
        </w:rPr>
        <w:t xml:space="preserve"> por un Jurado constituido por 3 (tres) miembros titulares y 3 (tres) suplentes, de los cuales 2 (dos) deberán ser externos a la UNS; </w:t>
      </w:r>
    </w:p>
    <w:p w:rsidR="0076428E" w:rsidRPr="005147B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BB2FCB" w:rsidRDefault="00BB2FCB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 xml:space="preserve">Que al ocurrir el fallecimiento del Lic. Romero, el Art. 29°) del Reglamento de Estudios de Posgrados Académicos carece de sentido, pues requiere la presencia del postulante en la Defensa oral; </w:t>
      </w:r>
    </w:p>
    <w:p w:rsidR="00BB2FCB" w:rsidRDefault="00BB2FCB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BB2FCB" w:rsidRDefault="00BB2FCB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 xml:space="preserve">Que según se entiende del mencionado artículo, el objetivo de la Defensa de la Tesis es juzgar públicamente la habilidad de exposición y expresión de conocimientos por parte del postulante; </w:t>
      </w:r>
    </w:p>
    <w:p w:rsidR="00BB2FCB" w:rsidRDefault="00BB2FCB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BB2FCB" w:rsidRDefault="00BB2FCB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 xml:space="preserve">Que siendo imposible realizar la Defensa, no </w:t>
      </w:r>
      <w:r w:rsidR="007306B6">
        <w:rPr>
          <w:rFonts w:ascii="Arial" w:hAnsi="Arial"/>
          <w:snapToGrid/>
          <w:sz w:val="24"/>
          <w:lang w:val="es-AR"/>
        </w:rPr>
        <w:t>resulta</w:t>
      </w:r>
      <w:r>
        <w:rPr>
          <w:rFonts w:ascii="Arial" w:hAnsi="Arial"/>
          <w:snapToGrid/>
          <w:sz w:val="24"/>
          <w:lang w:val="es-AR"/>
        </w:rPr>
        <w:t xml:space="preserve"> </w:t>
      </w:r>
      <w:r w:rsidR="007306B6">
        <w:rPr>
          <w:rFonts w:ascii="Arial" w:hAnsi="Arial"/>
          <w:snapToGrid/>
          <w:sz w:val="24"/>
          <w:lang w:val="es-AR"/>
        </w:rPr>
        <w:t>injusto que el postulante sea juzgado en sus habilidades según ha demostrado hasta el momento en los documentos de la Tesis y según consta en el juicio de los jurados en sus respectivos dictámenes;</w:t>
      </w:r>
    </w:p>
    <w:p w:rsidR="007306B6" w:rsidRDefault="007306B6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7306B6" w:rsidRPr="005147BE" w:rsidRDefault="007306B6" w:rsidP="007306B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>Que los dictámenes emitidos oportunamente por los tres jurados convocados recomendaron, de manera unánime, la aprobación de la tesis presentada por el Lic. Romero</w:t>
      </w:r>
      <w:r>
        <w:rPr>
          <w:rFonts w:ascii="Arial" w:hAnsi="Arial"/>
          <w:snapToGrid/>
          <w:sz w:val="24"/>
          <w:lang w:val="es-AR"/>
        </w:rPr>
        <w:t>, otorgando</w:t>
      </w:r>
      <w:r w:rsidRPr="005147BE">
        <w:rPr>
          <w:rFonts w:ascii="Arial" w:hAnsi="Arial"/>
          <w:snapToGrid/>
          <w:sz w:val="24"/>
          <w:lang w:val="es-AR"/>
        </w:rPr>
        <w:t xml:space="preserve"> calificación 10 (sobresaliente); </w:t>
      </w:r>
    </w:p>
    <w:p w:rsidR="007306B6" w:rsidRDefault="007306B6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</w:p>
    <w:p w:rsidR="0076428E" w:rsidRPr="005147BE" w:rsidRDefault="00415A4D" w:rsidP="00415A4D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snapToGrid/>
          <w:sz w:val="24"/>
          <w:lang w:val="es-AR"/>
        </w:rPr>
        <w:t xml:space="preserve">Que los miembros del Consejo Departamental coinciden en que el lamentable deceso del Lic. Romero </w:t>
      </w:r>
      <w:r w:rsidR="007306B6">
        <w:rPr>
          <w:rFonts w:ascii="Arial" w:hAnsi="Arial"/>
          <w:snapToGrid/>
          <w:sz w:val="24"/>
          <w:lang w:val="es-AR"/>
        </w:rPr>
        <w:t xml:space="preserve">es la única causa que </w:t>
      </w:r>
      <w:r w:rsidRPr="005147BE">
        <w:rPr>
          <w:rFonts w:ascii="Arial" w:hAnsi="Arial"/>
          <w:snapToGrid/>
          <w:sz w:val="24"/>
          <w:lang w:val="es-AR"/>
        </w:rPr>
        <w:t>impidió la realización de la defensa</w:t>
      </w:r>
      <w:r w:rsidR="00AB7897">
        <w:rPr>
          <w:rFonts w:ascii="Arial" w:hAnsi="Arial"/>
          <w:snapToGrid/>
          <w:sz w:val="24"/>
          <w:lang w:val="es-AR"/>
        </w:rPr>
        <w:t xml:space="preserve"> oral de su trabajo pero que entienden que el</w:t>
      </w:r>
      <w:r w:rsidRPr="005147BE">
        <w:rPr>
          <w:rFonts w:ascii="Arial" w:hAnsi="Arial"/>
          <w:snapToGrid/>
          <w:sz w:val="24"/>
          <w:lang w:val="es-AR"/>
        </w:rPr>
        <w:t xml:space="preserve"> mismo cumplimentó la totalidad de los demás requisitos para la obtención del título de Doctor </w:t>
      </w:r>
      <w:r w:rsidR="001E5294" w:rsidRPr="005147BE">
        <w:rPr>
          <w:rFonts w:ascii="Arial" w:hAnsi="Arial"/>
          <w:snapToGrid/>
          <w:sz w:val="24"/>
          <w:lang w:val="es-AR"/>
        </w:rPr>
        <w:t xml:space="preserve">y </w:t>
      </w:r>
      <w:r w:rsidR="00AB7897">
        <w:rPr>
          <w:rFonts w:ascii="Arial" w:hAnsi="Arial"/>
          <w:snapToGrid/>
          <w:sz w:val="24"/>
          <w:lang w:val="es-AR"/>
        </w:rPr>
        <w:t>merece un</w:t>
      </w:r>
      <w:r w:rsidR="001E5294" w:rsidRPr="005147BE">
        <w:rPr>
          <w:rFonts w:ascii="Arial" w:hAnsi="Arial"/>
          <w:snapToGrid/>
          <w:sz w:val="24"/>
          <w:lang w:val="es-AR"/>
        </w:rPr>
        <w:t xml:space="preserve"> reconocimiento por las tareas de investigación</w:t>
      </w:r>
      <w:r w:rsidR="00EC4EED">
        <w:rPr>
          <w:rFonts w:ascii="Arial" w:hAnsi="Arial"/>
          <w:snapToGrid/>
          <w:sz w:val="24"/>
          <w:lang w:val="es-AR"/>
        </w:rPr>
        <w:t xml:space="preserve"> que llevó</w:t>
      </w:r>
      <w:r w:rsidR="001E5294" w:rsidRPr="005147BE">
        <w:rPr>
          <w:rFonts w:ascii="Arial" w:hAnsi="Arial"/>
          <w:snapToGrid/>
          <w:sz w:val="24"/>
          <w:lang w:val="es-AR"/>
        </w:rPr>
        <w:t xml:space="preserve"> a cabo; </w:t>
      </w:r>
    </w:p>
    <w:p w:rsidR="0076428E" w:rsidRPr="005147B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AR"/>
        </w:rPr>
      </w:pPr>
    </w:p>
    <w:p w:rsidR="0076428E" w:rsidRPr="005147B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AR"/>
        </w:rPr>
      </w:pPr>
      <w:r w:rsidRPr="005147BE">
        <w:rPr>
          <w:rFonts w:ascii="Arial" w:hAnsi="Arial" w:cs="Arial"/>
          <w:b/>
          <w:snapToGrid/>
          <w:sz w:val="24"/>
          <w:lang w:val="es-AR"/>
        </w:rPr>
        <w:t>P</w:t>
      </w:r>
      <w:r w:rsidR="004B6A10" w:rsidRPr="005147BE">
        <w:rPr>
          <w:rFonts w:ascii="Arial" w:hAnsi="Arial" w:cs="Arial"/>
          <w:b/>
          <w:snapToGrid/>
          <w:sz w:val="24"/>
          <w:lang w:val="es-AR"/>
        </w:rPr>
        <w:t>or ello</w:t>
      </w:r>
      <w:r w:rsidRPr="005147BE">
        <w:rPr>
          <w:rFonts w:ascii="Arial" w:hAnsi="Arial" w:cs="Arial"/>
          <w:b/>
          <w:snapToGrid/>
          <w:sz w:val="24"/>
          <w:lang w:val="es-AR"/>
        </w:rPr>
        <w:t xml:space="preserve">, </w:t>
      </w:r>
    </w:p>
    <w:p w:rsidR="0076428E" w:rsidRPr="005147BE" w:rsidRDefault="0076428E" w:rsidP="0076428E">
      <w:pPr>
        <w:jc w:val="both"/>
        <w:rPr>
          <w:rFonts w:ascii="Arial" w:hAnsi="Arial" w:cs="Arial"/>
          <w:b/>
          <w:snapToGrid/>
          <w:sz w:val="24"/>
          <w:lang w:val="es-AR"/>
        </w:rPr>
      </w:pPr>
    </w:p>
    <w:p w:rsidR="00ED0102" w:rsidRPr="005147BE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AR" w:eastAsia="en-US"/>
        </w:rPr>
      </w:pPr>
      <w:r w:rsidRPr="005147BE">
        <w:rPr>
          <w:rFonts w:ascii="Arial" w:hAnsi="Arial" w:cs="Arial"/>
          <w:b/>
          <w:snapToGrid/>
          <w:sz w:val="24"/>
          <w:lang w:val="es-AR" w:eastAsia="en-US"/>
        </w:rPr>
        <w:lastRenderedPageBreak/>
        <w:t xml:space="preserve">El Consejo Departamental de Ciencias e Ingeniería de la Computación en su reunión de fecha </w:t>
      </w:r>
      <w:r w:rsidR="00C90882" w:rsidRPr="005147BE">
        <w:rPr>
          <w:rFonts w:ascii="Arial" w:hAnsi="Arial" w:cs="Arial"/>
          <w:b/>
          <w:snapToGrid/>
          <w:sz w:val="24"/>
          <w:lang w:val="es-AR" w:eastAsia="en-US"/>
        </w:rPr>
        <w:t>11</w:t>
      </w:r>
      <w:r w:rsidRPr="005147BE">
        <w:rPr>
          <w:rFonts w:ascii="Arial" w:hAnsi="Arial" w:cs="Arial"/>
          <w:b/>
          <w:snapToGrid/>
          <w:sz w:val="24"/>
          <w:lang w:val="es-AR" w:eastAsia="en-US"/>
        </w:rPr>
        <w:t xml:space="preserve"> de </w:t>
      </w:r>
      <w:r w:rsidR="00134DA0" w:rsidRPr="005147BE">
        <w:rPr>
          <w:rFonts w:ascii="Arial" w:hAnsi="Arial" w:cs="Arial"/>
          <w:b/>
          <w:snapToGrid/>
          <w:sz w:val="24"/>
          <w:lang w:val="es-AR" w:eastAsia="en-US"/>
        </w:rPr>
        <w:t>ju</w:t>
      </w:r>
      <w:r w:rsidR="00305D45" w:rsidRPr="005147BE">
        <w:rPr>
          <w:rFonts w:ascii="Arial" w:hAnsi="Arial" w:cs="Arial"/>
          <w:b/>
          <w:snapToGrid/>
          <w:sz w:val="24"/>
          <w:lang w:val="es-AR" w:eastAsia="en-US"/>
        </w:rPr>
        <w:t>lio</w:t>
      </w:r>
      <w:r w:rsidRPr="005147BE">
        <w:rPr>
          <w:rFonts w:ascii="Arial" w:hAnsi="Arial" w:cs="Arial"/>
          <w:b/>
          <w:snapToGrid/>
          <w:sz w:val="24"/>
          <w:lang w:val="es-AR" w:eastAsia="en-US"/>
        </w:rPr>
        <w:t xml:space="preserve"> de 2017</w:t>
      </w:r>
    </w:p>
    <w:p w:rsidR="0076428E" w:rsidRPr="005147B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5147B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5147BE" w:rsidRDefault="0076428E" w:rsidP="0076428E">
      <w:pPr>
        <w:jc w:val="center"/>
        <w:rPr>
          <w:rFonts w:ascii="Arial" w:hAnsi="Arial" w:cs="Arial"/>
          <w:b/>
          <w:snapToGrid/>
          <w:sz w:val="24"/>
          <w:lang w:val="es-AR"/>
        </w:rPr>
      </w:pPr>
      <w:r w:rsidRPr="005147BE">
        <w:rPr>
          <w:rFonts w:ascii="Arial" w:hAnsi="Arial" w:cs="Arial"/>
          <w:b/>
          <w:snapToGrid/>
          <w:sz w:val="24"/>
          <w:lang w:val="es-AR"/>
        </w:rPr>
        <w:t>R E S U E L V E :</w:t>
      </w:r>
    </w:p>
    <w:p w:rsidR="0076428E" w:rsidRPr="005147BE" w:rsidRDefault="0076428E" w:rsidP="0076428E">
      <w:pPr>
        <w:jc w:val="both"/>
        <w:rPr>
          <w:rFonts w:ascii="Arial" w:hAnsi="Arial" w:cs="Arial"/>
          <w:snapToGrid/>
          <w:sz w:val="24"/>
          <w:lang w:val="es-AR"/>
        </w:rPr>
      </w:pPr>
    </w:p>
    <w:p w:rsidR="00134A2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AR"/>
        </w:rPr>
      </w:pPr>
      <w:r w:rsidRPr="005147BE">
        <w:rPr>
          <w:rFonts w:ascii="Arial" w:hAnsi="Arial"/>
          <w:b/>
          <w:snapToGrid/>
          <w:sz w:val="24"/>
          <w:lang w:val="es-AR"/>
        </w:rPr>
        <w:t>Art. 1</w:t>
      </w:r>
      <w:r w:rsidRPr="005147BE">
        <w:rPr>
          <w:rFonts w:ascii="Arial" w:hAnsi="Arial"/>
          <w:b/>
          <w:snapToGrid/>
          <w:sz w:val="24"/>
          <w:lang w:val="es-AR"/>
        </w:rPr>
        <w:sym w:font="Symbol" w:char="F0B0"/>
      </w:r>
      <w:r w:rsidRPr="005147BE">
        <w:rPr>
          <w:rFonts w:ascii="Arial" w:hAnsi="Arial"/>
          <w:b/>
          <w:snapToGrid/>
          <w:sz w:val="24"/>
          <w:lang w:val="es-AR"/>
        </w:rPr>
        <w:t>)</w:t>
      </w:r>
      <w:r w:rsidRPr="005147BE">
        <w:rPr>
          <w:rFonts w:ascii="Arial" w:hAnsi="Arial"/>
          <w:snapToGrid/>
          <w:sz w:val="24"/>
          <w:lang w:val="es-AR"/>
        </w:rPr>
        <w:t xml:space="preserve">.- </w:t>
      </w:r>
      <w:r w:rsidR="00AB7897">
        <w:rPr>
          <w:rFonts w:ascii="Arial" w:hAnsi="Arial"/>
          <w:snapToGrid/>
          <w:sz w:val="24"/>
          <w:lang w:val="es-AR"/>
        </w:rPr>
        <w:t xml:space="preserve">Dar por </w:t>
      </w:r>
      <w:r w:rsidR="007306B6">
        <w:rPr>
          <w:rFonts w:ascii="Arial" w:hAnsi="Arial"/>
          <w:snapToGrid/>
          <w:sz w:val="24"/>
          <w:lang w:val="es-AR"/>
        </w:rPr>
        <w:t>cumplidos al</w:t>
      </w:r>
      <w:r w:rsidR="00134A28" w:rsidRPr="005147BE">
        <w:rPr>
          <w:rFonts w:ascii="Arial" w:hAnsi="Arial"/>
          <w:snapToGrid/>
          <w:sz w:val="24"/>
          <w:lang w:val="es-AR"/>
        </w:rPr>
        <w:t xml:space="preserve"> </w:t>
      </w:r>
      <w:r w:rsidR="00134A28" w:rsidRPr="005147BE">
        <w:rPr>
          <w:rFonts w:ascii="Arial" w:hAnsi="Arial"/>
          <w:b/>
          <w:snapToGrid/>
          <w:sz w:val="24"/>
          <w:lang w:val="es-AR"/>
        </w:rPr>
        <w:t xml:space="preserve">Licenciado José Rodolfo ROMERO </w:t>
      </w:r>
      <w:r w:rsidR="00134A28" w:rsidRPr="005147BE">
        <w:rPr>
          <w:rFonts w:ascii="Arial" w:hAnsi="Arial"/>
          <w:snapToGrid/>
          <w:sz w:val="24"/>
          <w:lang w:val="es-AR"/>
        </w:rPr>
        <w:t>(DNI 23.620.511)</w:t>
      </w:r>
      <w:r w:rsidR="00134A28">
        <w:rPr>
          <w:rFonts w:ascii="Arial" w:hAnsi="Arial"/>
          <w:snapToGrid/>
          <w:sz w:val="24"/>
          <w:lang w:val="es-AR"/>
        </w:rPr>
        <w:t xml:space="preserve">, los requisitos académicos exigidos por el </w:t>
      </w:r>
      <w:r w:rsidR="00134A28" w:rsidRPr="005147BE">
        <w:rPr>
          <w:rFonts w:ascii="Arial" w:hAnsi="Arial"/>
          <w:snapToGrid/>
          <w:sz w:val="24"/>
          <w:lang w:val="es-AR"/>
        </w:rPr>
        <w:t>Reglamento de Estudios de Posgrados Académicos</w:t>
      </w:r>
      <w:r w:rsidR="008F6EC9">
        <w:rPr>
          <w:rFonts w:ascii="Arial" w:hAnsi="Arial"/>
          <w:snapToGrid/>
          <w:sz w:val="24"/>
          <w:lang w:val="es-AR"/>
        </w:rPr>
        <w:t xml:space="preserve"> (Resol.</w:t>
      </w:r>
      <w:r w:rsidR="008F6EC9" w:rsidRPr="008F6EC9">
        <w:rPr>
          <w:rFonts w:ascii="Arial" w:hAnsi="Arial"/>
          <w:snapToGrid/>
          <w:sz w:val="24"/>
          <w:lang w:val="es-AR"/>
        </w:rPr>
        <w:t xml:space="preserve"> </w:t>
      </w:r>
      <w:r w:rsidR="008F6EC9" w:rsidRPr="005147BE">
        <w:rPr>
          <w:rFonts w:ascii="Arial" w:hAnsi="Arial"/>
          <w:snapToGrid/>
          <w:sz w:val="24"/>
          <w:lang w:val="es-AR"/>
        </w:rPr>
        <w:t>CSU-712/12</w:t>
      </w:r>
      <w:r w:rsidR="008F6EC9">
        <w:rPr>
          <w:rFonts w:ascii="Arial" w:hAnsi="Arial"/>
          <w:snapToGrid/>
          <w:sz w:val="24"/>
          <w:lang w:val="es-AR"/>
        </w:rPr>
        <w:t>)</w:t>
      </w:r>
      <w:r w:rsidR="007306B6">
        <w:rPr>
          <w:rFonts w:ascii="Arial" w:hAnsi="Arial"/>
          <w:snapToGrid/>
          <w:sz w:val="24"/>
          <w:lang w:val="es-AR"/>
        </w:rPr>
        <w:t xml:space="preserve">, recomendando se le otorgue </w:t>
      </w:r>
      <w:r w:rsidR="00511824">
        <w:rPr>
          <w:rFonts w:ascii="Arial" w:hAnsi="Arial"/>
          <w:snapToGrid/>
          <w:sz w:val="24"/>
          <w:lang w:val="es-AR"/>
        </w:rPr>
        <w:t>el título post-mortem</w:t>
      </w:r>
      <w:r w:rsidR="00134A28" w:rsidRPr="005147BE">
        <w:rPr>
          <w:rFonts w:ascii="Arial" w:hAnsi="Arial"/>
          <w:snapToGrid/>
          <w:sz w:val="24"/>
          <w:lang w:val="es-AR"/>
        </w:rPr>
        <w:t xml:space="preserve"> de Doctor en Ciencias de la Computación</w:t>
      </w:r>
      <w:r w:rsidR="008F6EC9">
        <w:rPr>
          <w:rFonts w:ascii="Arial" w:hAnsi="Arial"/>
          <w:snapToGrid/>
          <w:sz w:val="24"/>
          <w:lang w:val="es-AR"/>
        </w:rPr>
        <w:t xml:space="preserve"> por </w:t>
      </w:r>
      <w:r w:rsidR="008F6EC9" w:rsidRPr="005147BE">
        <w:rPr>
          <w:rFonts w:ascii="Arial" w:hAnsi="Arial"/>
          <w:snapToGrid/>
          <w:sz w:val="24"/>
          <w:lang w:val="es-AR"/>
        </w:rPr>
        <w:t>la Tesis denominada</w:t>
      </w:r>
      <w:r w:rsidR="008F6EC9" w:rsidRPr="005147BE">
        <w:rPr>
          <w:rFonts w:ascii="Arial" w:hAnsi="Arial"/>
          <w:b/>
          <w:snapToGrid/>
          <w:sz w:val="24"/>
          <w:lang w:val="es-AR"/>
        </w:rPr>
        <w:t xml:space="preserve"> “Desarrollo de algoritmos de aprendizaje automático y minería de datos para el estudio de la expresión de genes en plantas”</w:t>
      </w:r>
      <w:r w:rsidR="008F6EC9" w:rsidRPr="005147BE">
        <w:rPr>
          <w:rFonts w:ascii="Arial" w:hAnsi="Arial"/>
          <w:snapToGrid/>
          <w:sz w:val="24"/>
          <w:lang w:val="es-AR"/>
        </w:rPr>
        <w:t>.-</w:t>
      </w:r>
    </w:p>
    <w:p w:rsidR="0076428E" w:rsidRPr="005147B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AR"/>
        </w:rPr>
      </w:pPr>
    </w:p>
    <w:p w:rsidR="0076428E" w:rsidRPr="005147B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AR"/>
        </w:rPr>
      </w:pPr>
      <w:r w:rsidRPr="005147BE">
        <w:rPr>
          <w:rFonts w:ascii="Arial" w:hAnsi="Arial"/>
          <w:b/>
          <w:snapToGrid/>
          <w:color w:val="000000"/>
          <w:sz w:val="24"/>
          <w:lang w:val="es-AR"/>
        </w:rPr>
        <w:t>Art. 2º).-</w:t>
      </w:r>
      <w:r w:rsidRPr="005147BE">
        <w:rPr>
          <w:rFonts w:ascii="Arial" w:hAnsi="Arial"/>
          <w:snapToGrid/>
          <w:color w:val="000000"/>
          <w:sz w:val="24"/>
          <w:lang w:val="es-AR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5147BE">
          <w:rPr>
            <w:rFonts w:ascii="Arial" w:hAnsi="Arial"/>
            <w:snapToGrid/>
            <w:color w:val="000000"/>
            <w:sz w:val="24"/>
            <w:lang w:val="es-AR"/>
          </w:rPr>
          <w:t>la Secretaría</w:t>
        </w:r>
      </w:smartTag>
      <w:r w:rsidRPr="005147BE">
        <w:rPr>
          <w:rFonts w:ascii="Arial" w:hAnsi="Arial"/>
          <w:snapToGrid/>
          <w:color w:val="000000"/>
          <w:sz w:val="24"/>
          <w:lang w:val="es-AR"/>
        </w:rPr>
        <w:t xml:space="preserve"> General de Posgrado y Educación Continua para su consideración.------------------------------------------------------------------------------------------------</w:t>
      </w:r>
      <w:r w:rsidR="00A540C2" w:rsidRPr="005147BE">
        <w:rPr>
          <w:rFonts w:ascii="Arial" w:hAnsi="Arial"/>
          <w:snapToGrid/>
          <w:color w:val="000000"/>
          <w:sz w:val="24"/>
          <w:lang w:val="es-AR"/>
        </w:rPr>
        <w:t>--</w:t>
      </w:r>
    </w:p>
    <w:p w:rsidR="005F1B0E" w:rsidRPr="005147B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RPr="005147B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A28"/>
    <w:rsid w:val="00134DA0"/>
    <w:rsid w:val="001404F8"/>
    <w:rsid w:val="0016514A"/>
    <w:rsid w:val="00195914"/>
    <w:rsid w:val="001A6DEE"/>
    <w:rsid w:val="001E5294"/>
    <w:rsid w:val="001F3DBD"/>
    <w:rsid w:val="001F44A6"/>
    <w:rsid w:val="00241F16"/>
    <w:rsid w:val="00246161"/>
    <w:rsid w:val="002724CF"/>
    <w:rsid w:val="00281F2A"/>
    <w:rsid w:val="00291A97"/>
    <w:rsid w:val="0029482E"/>
    <w:rsid w:val="002A6280"/>
    <w:rsid w:val="002B2E4F"/>
    <w:rsid w:val="002B656A"/>
    <w:rsid w:val="002C2D97"/>
    <w:rsid w:val="002C67BC"/>
    <w:rsid w:val="002E1C18"/>
    <w:rsid w:val="00305D45"/>
    <w:rsid w:val="00317DDE"/>
    <w:rsid w:val="003265D4"/>
    <w:rsid w:val="00382667"/>
    <w:rsid w:val="0039653B"/>
    <w:rsid w:val="003C4F40"/>
    <w:rsid w:val="0040168D"/>
    <w:rsid w:val="00415A4D"/>
    <w:rsid w:val="00427C9D"/>
    <w:rsid w:val="004324CF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D5D75"/>
    <w:rsid w:val="004D5F46"/>
    <w:rsid w:val="004F49C1"/>
    <w:rsid w:val="00500EB1"/>
    <w:rsid w:val="00511824"/>
    <w:rsid w:val="005137F0"/>
    <w:rsid w:val="005147BE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06B6"/>
    <w:rsid w:val="007349D9"/>
    <w:rsid w:val="007529BD"/>
    <w:rsid w:val="0076428E"/>
    <w:rsid w:val="00766D79"/>
    <w:rsid w:val="00786A64"/>
    <w:rsid w:val="007919CA"/>
    <w:rsid w:val="00792B0C"/>
    <w:rsid w:val="007B41C6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8F6EC9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AB7897"/>
    <w:rsid w:val="00AE5663"/>
    <w:rsid w:val="00B4028C"/>
    <w:rsid w:val="00B62F32"/>
    <w:rsid w:val="00B66C7B"/>
    <w:rsid w:val="00BA2052"/>
    <w:rsid w:val="00BB2FCB"/>
    <w:rsid w:val="00BC6A29"/>
    <w:rsid w:val="00BD39F5"/>
    <w:rsid w:val="00BE3110"/>
    <w:rsid w:val="00BF22AD"/>
    <w:rsid w:val="00C2757D"/>
    <w:rsid w:val="00C4527F"/>
    <w:rsid w:val="00C90882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C4EED"/>
    <w:rsid w:val="00ED0102"/>
    <w:rsid w:val="00ED154A"/>
    <w:rsid w:val="00F069DA"/>
    <w:rsid w:val="00F110F0"/>
    <w:rsid w:val="00F174B3"/>
    <w:rsid w:val="00F858FD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2025-07-06T18:45:00Z</dcterms:created>
  <dcterms:modified xsi:type="dcterms:W3CDTF">2025-07-06T18:45:00Z</dcterms:modified>
</cp:coreProperties>
</file>