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DCIC-</w:t>
      </w:r>
      <w:r w:rsidR="00F123BF">
        <w:rPr>
          <w:rFonts w:ascii="Arial" w:hAnsi="Arial" w:cs="Arial"/>
          <w:b/>
          <w:bCs/>
          <w:lang w:val="es-AR"/>
        </w:rPr>
        <w:t>009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950BE0">
        <w:rPr>
          <w:rFonts w:ascii="Arial" w:hAnsi="Arial" w:cs="Arial"/>
          <w:b/>
          <w:bCs/>
          <w:lang w:val="es-AR"/>
        </w:rPr>
        <w:t>7</w:t>
      </w:r>
    </w:p>
    <w:p w:rsidR="00990B50" w:rsidRDefault="00990B50">
      <w:pPr>
        <w:rPr>
          <w:rFonts w:ascii="Arial" w:hAnsi="Arial" w:cs="Arial"/>
          <w:b/>
          <w:bCs/>
          <w:lang w:val="es-AR"/>
        </w:rPr>
      </w:pPr>
    </w:p>
    <w:p w:rsidR="00543B3B" w:rsidRDefault="00543B3B" w:rsidP="00990B50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990B50" w:rsidRDefault="00990B50" w:rsidP="00990B50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397D6B" w:rsidP="0007566A">
      <w:pPr>
        <w:pStyle w:val="Sangradetextonormal"/>
        <w:ind w:firstLine="851"/>
      </w:pPr>
      <w:r>
        <w:t xml:space="preserve">La resolución CDCIC-010/17 mediante la cual se aprueban las equivalencias de las asignaturas aprobadas por el alumno de Grado </w:t>
      </w:r>
      <w:r w:rsidR="00950BE0">
        <w:t xml:space="preserve">Lautaro Alejandro KLEIN </w:t>
      </w:r>
      <w:r w:rsidR="00110B3F">
        <w:rPr>
          <w:rFonts w:cs="Arial"/>
        </w:rPr>
        <w:t xml:space="preserve">(LU. </w:t>
      </w:r>
      <w:r w:rsidR="00950BE0">
        <w:rPr>
          <w:rFonts w:cs="Arial"/>
        </w:rPr>
        <w:t>94121</w:t>
      </w:r>
      <w:r w:rsidR="00110B3F">
        <w:rPr>
          <w:rFonts w:cs="Arial"/>
        </w:rPr>
        <w:t xml:space="preserve">) en </w:t>
      </w:r>
      <w:r w:rsidR="00A777A9">
        <w:rPr>
          <w:rFonts w:cs="Arial"/>
        </w:rPr>
        <w:t xml:space="preserve">la </w:t>
      </w:r>
      <w:r w:rsidR="00070D12">
        <w:rPr>
          <w:rFonts w:cs="Arial"/>
        </w:rPr>
        <w:t xml:space="preserve">Universidad </w:t>
      </w:r>
      <w:r w:rsidR="00950BE0">
        <w:rPr>
          <w:rFonts w:cs="Arial"/>
        </w:rPr>
        <w:t>de Boyacá</w:t>
      </w:r>
      <w:r w:rsidR="00070D12">
        <w:rPr>
          <w:rFonts w:cs="Arial"/>
        </w:rPr>
        <w:t xml:space="preserve"> </w:t>
      </w:r>
      <w:r w:rsidR="00110B3F">
        <w:t>(</w:t>
      </w:r>
      <w:r w:rsidR="00950BE0">
        <w:t>Colombia</w:t>
      </w:r>
      <w:r w:rsidR="00110B3F">
        <w:t xml:space="preserve">) en el marco del </w:t>
      </w:r>
      <w:r w:rsidR="009E2233">
        <w:t xml:space="preserve">Programa </w:t>
      </w:r>
      <w:r w:rsidR="00950BE0">
        <w:t>MACA</w:t>
      </w:r>
      <w:r w:rsidR="00110B3F">
        <w:t xml:space="preserve">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9E2233" w:rsidRDefault="009E2233" w:rsidP="009E2233">
      <w:pPr>
        <w:rPr>
          <w:rFonts w:ascii="Arial" w:hAnsi="Arial" w:cs="Arial"/>
          <w:lang w:val="es-AR"/>
        </w:rPr>
      </w:pPr>
    </w:p>
    <w:p w:rsidR="00543B3B" w:rsidRPr="003B2ED6" w:rsidRDefault="009E2233" w:rsidP="003B2ED6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110B3F">
        <w:rPr>
          <w:rFonts w:ascii="Arial" w:hAnsi="Arial" w:cs="Arial"/>
          <w:lang w:val="es-AR"/>
        </w:rPr>
        <w:t xml:space="preserve">la </w:t>
      </w:r>
      <w:r w:rsidR="00397D6B">
        <w:rPr>
          <w:rFonts w:ascii="Arial" w:hAnsi="Arial" w:cs="Arial"/>
          <w:lang w:val="es-AR"/>
        </w:rPr>
        <w:t>Dirección de Alumnos y Estudios</w:t>
      </w:r>
      <w:r w:rsidR="003B2ED6">
        <w:rPr>
          <w:rFonts w:ascii="Arial" w:hAnsi="Arial" w:cs="Arial"/>
          <w:lang w:val="es-AR"/>
        </w:rPr>
        <w:t xml:space="preserve"> solicitó la correcc</w:t>
      </w:r>
      <w:r w:rsidR="00397D6B">
        <w:rPr>
          <w:rFonts w:ascii="Arial" w:hAnsi="Arial" w:cs="Arial"/>
          <w:lang w:val="es-AR"/>
        </w:rPr>
        <w:t>ión del nombre de las asignaturas de origen</w:t>
      </w:r>
      <w:r w:rsidR="00A777A9">
        <w:rPr>
          <w:rFonts w:ascii="Arial" w:hAnsi="Arial" w:cs="Arial"/>
          <w:lang w:val="es-AR"/>
        </w:rPr>
        <w:t xml:space="preserve"> de las equivalencias </w:t>
      </w:r>
      <w:r w:rsidR="003B2ED6">
        <w:rPr>
          <w:rFonts w:ascii="Arial" w:hAnsi="Arial" w:cs="Arial"/>
          <w:lang w:val="es-AR"/>
        </w:rPr>
        <w:t>ya que deben coincidir</w:t>
      </w:r>
      <w:r w:rsidR="00A777A9">
        <w:rPr>
          <w:rFonts w:ascii="Arial" w:hAnsi="Arial" w:cs="Arial"/>
          <w:lang w:val="es-AR"/>
        </w:rPr>
        <w:t xml:space="preserve"> con el que figura en el certificado analítico</w:t>
      </w:r>
      <w:r w:rsidR="00397D6B">
        <w:rPr>
          <w:rFonts w:ascii="Arial" w:hAnsi="Arial" w:cs="Arial"/>
          <w:lang w:val="es-AR"/>
        </w:rPr>
        <w:t xml:space="preserve">, el nombre de la universidad de origen, el nombre de la carrera de destino </w:t>
      </w:r>
      <w:r w:rsidR="00A777A9">
        <w:rPr>
          <w:rFonts w:ascii="Arial" w:hAnsi="Arial" w:cs="Arial"/>
          <w:lang w:val="es-AR"/>
        </w:rPr>
        <w:t xml:space="preserve">de las equivalencia </w:t>
      </w:r>
      <w:r w:rsidR="00397D6B">
        <w:rPr>
          <w:rFonts w:ascii="Arial" w:hAnsi="Arial" w:cs="Arial"/>
          <w:lang w:val="es-AR"/>
        </w:rPr>
        <w:t xml:space="preserve">y el nombre de </w:t>
      </w:r>
      <w:r w:rsidR="00A777A9">
        <w:rPr>
          <w:rFonts w:ascii="Arial" w:hAnsi="Arial" w:cs="Arial"/>
          <w:lang w:val="es-AR"/>
        </w:rPr>
        <w:t xml:space="preserve">destino de </w:t>
      </w:r>
      <w:r w:rsidR="00397D6B">
        <w:rPr>
          <w:rFonts w:ascii="Arial" w:hAnsi="Arial" w:cs="Arial"/>
          <w:lang w:val="es-AR"/>
        </w:rPr>
        <w:t xml:space="preserve">la asignatura de </w:t>
      </w:r>
      <w:r w:rsidR="00A777A9">
        <w:rPr>
          <w:rFonts w:ascii="Arial" w:hAnsi="Arial" w:cs="Arial"/>
          <w:lang w:val="es-AR"/>
        </w:rPr>
        <w:t xml:space="preserve">la </w:t>
      </w:r>
      <w:r w:rsidR="00397D6B">
        <w:rPr>
          <w:rFonts w:ascii="Arial" w:hAnsi="Arial" w:cs="Arial"/>
          <w:lang w:val="es-AR"/>
        </w:rPr>
        <w:t>equivalencia</w:t>
      </w:r>
      <w:r w:rsidR="00A777A9">
        <w:rPr>
          <w:rFonts w:ascii="Arial" w:hAnsi="Arial" w:cs="Arial"/>
          <w:lang w:val="es-AR"/>
        </w:rPr>
        <w:t xml:space="preserve">; </w:t>
      </w:r>
      <w:r w:rsidR="00543B3B">
        <w:rPr>
          <w:rFonts w:ascii="Arial" w:hAnsi="Arial" w:cs="Arial"/>
          <w:lang w:val="es-ES"/>
        </w:rPr>
        <w:t xml:space="preserve">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  <w:r w:rsidR="00543B3B">
        <w:rPr>
          <w:rFonts w:ascii="Arial" w:hAnsi="Arial"/>
          <w:b/>
          <w:color w:val="000000"/>
          <w:lang w:val="es-AR"/>
        </w:rPr>
        <w:tab/>
      </w:r>
    </w:p>
    <w:p w:rsidR="00A777A9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</w:t>
      </w:r>
      <w:r w:rsidR="00397D6B">
        <w:rPr>
          <w:rFonts w:ascii="Arial" w:hAnsi="Arial"/>
          <w:b/>
          <w:color w:val="000000"/>
          <w:lang w:val="es-AR"/>
        </w:rPr>
        <w:t>Director Decano del D</w:t>
      </w:r>
      <w:r>
        <w:rPr>
          <w:rFonts w:ascii="Arial" w:hAnsi="Arial"/>
          <w:b/>
          <w:color w:val="000000"/>
          <w:lang w:val="es-AR"/>
        </w:rPr>
        <w:t>epartament</w:t>
      </w:r>
      <w:r w:rsidR="00397D6B">
        <w:rPr>
          <w:rFonts w:ascii="Arial" w:hAnsi="Arial"/>
          <w:b/>
          <w:color w:val="000000"/>
          <w:lang w:val="es-AR"/>
        </w:rPr>
        <w:t xml:space="preserve">o </w:t>
      </w:r>
      <w:r>
        <w:rPr>
          <w:rFonts w:ascii="Arial" w:hAnsi="Arial"/>
          <w:b/>
          <w:color w:val="000000"/>
          <w:lang w:val="es-AR"/>
        </w:rPr>
        <w:t xml:space="preserve">de Ciencias e Ingeniería de la Computación </w:t>
      </w:r>
      <w:r w:rsidR="00950BE0">
        <w:rPr>
          <w:rFonts w:ascii="Arial" w:hAnsi="Arial"/>
          <w:b/>
          <w:color w:val="000000"/>
          <w:lang w:val="es-AR"/>
        </w:rPr>
        <w:t xml:space="preserve">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397D6B">
        <w:rPr>
          <w:rFonts w:ascii="Arial" w:hAnsi="Arial"/>
          <w:lang w:val="es-ES"/>
        </w:rPr>
        <w:t xml:space="preserve">Rectificar el Art. 1° de la Resolución CDCIC-010/17 </w:t>
      </w:r>
      <w:r w:rsidR="00AB5081">
        <w:rPr>
          <w:rFonts w:ascii="Arial" w:hAnsi="Arial"/>
          <w:lang w:val="es-ES"/>
        </w:rPr>
        <w:t>con el fin de consignar c</w:t>
      </w:r>
      <w:r w:rsidR="00AB5081">
        <w:rPr>
          <w:rFonts w:ascii="Arial" w:hAnsi="Arial"/>
          <w:lang w:val="es-ES"/>
        </w:rPr>
        <w:t>o</w:t>
      </w:r>
      <w:r w:rsidR="00AB5081">
        <w:rPr>
          <w:rFonts w:ascii="Arial" w:hAnsi="Arial"/>
          <w:lang w:val="es-ES"/>
        </w:rPr>
        <w:t>rrectamente los siguientes datos:</w:t>
      </w:r>
    </w:p>
    <w:p w:rsidR="00543B3B" w:rsidRDefault="00AB5081" w:rsidP="005176DF">
      <w:pPr>
        <w:jc w:val="lef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084"/>
        <w:gridCol w:w="972"/>
        <w:gridCol w:w="1940"/>
        <w:gridCol w:w="998"/>
        <w:gridCol w:w="688"/>
        <w:gridCol w:w="2194"/>
      </w:tblGrid>
      <w:tr w:rsidR="00B760E0" w:rsidRPr="00A2331C" w:rsidTr="00EF6F0F">
        <w:tc>
          <w:tcPr>
            <w:tcW w:w="2893" w:type="dxa"/>
            <w:gridSpan w:val="2"/>
            <w:shd w:val="clear" w:color="auto" w:fill="auto"/>
          </w:tcPr>
          <w:p w:rsidR="006E059B" w:rsidRDefault="006E059B" w:rsidP="006E059B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Pr="007C11D1" w:rsidRDefault="003C036D" w:rsidP="006E059B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Univer</w:t>
            </w:r>
            <w:r w:rsidR="007C11D1" w:rsidRPr="007C11D1">
              <w:rPr>
                <w:sz w:val="18"/>
                <w:szCs w:val="18"/>
                <w:lang w:val="es-AR"/>
              </w:rPr>
              <w:t>si</w:t>
            </w:r>
            <w:r w:rsidRPr="007C11D1">
              <w:rPr>
                <w:sz w:val="18"/>
                <w:szCs w:val="18"/>
                <w:lang w:val="es-AR"/>
              </w:rPr>
              <w:t xml:space="preserve">dad </w:t>
            </w:r>
            <w:r w:rsidR="00A8682B">
              <w:rPr>
                <w:sz w:val="18"/>
                <w:szCs w:val="18"/>
                <w:lang w:val="es-AR"/>
              </w:rPr>
              <w:t>de Bo</w:t>
            </w:r>
            <w:r w:rsidR="00BF7906">
              <w:rPr>
                <w:sz w:val="18"/>
                <w:szCs w:val="18"/>
                <w:lang w:val="es-AR"/>
              </w:rPr>
              <w:t>yacá</w:t>
            </w:r>
          </w:p>
          <w:p w:rsidR="003C036D" w:rsidRPr="00A2331C" w:rsidRDefault="006250B9" w:rsidP="00A8682B">
            <w:pPr>
              <w:jc w:val="center"/>
              <w:rPr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(</w:t>
            </w:r>
            <w:r w:rsidR="00A8682B">
              <w:rPr>
                <w:sz w:val="18"/>
                <w:szCs w:val="18"/>
                <w:lang w:val="es-AR"/>
              </w:rPr>
              <w:t>Colombia</w:t>
            </w:r>
            <w:r w:rsidRPr="007C11D1"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3910" w:type="dxa"/>
            <w:gridSpan w:val="3"/>
            <w:shd w:val="clear" w:color="auto" w:fill="auto"/>
          </w:tcPr>
          <w:p w:rsidR="006E059B" w:rsidRDefault="006E059B" w:rsidP="007C11D1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P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</w:t>
            </w:r>
          </w:p>
        </w:tc>
        <w:tc>
          <w:tcPr>
            <w:tcW w:w="2882" w:type="dxa"/>
            <w:gridSpan w:val="2"/>
            <w:shd w:val="clear" w:color="auto" w:fill="auto"/>
          </w:tcPr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Licenciatura en Ciencia</w:t>
            </w:r>
            <w:r w:rsidR="00BF7906">
              <w:rPr>
                <w:sz w:val="18"/>
                <w:szCs w:val="18"/>
                <w:lang w:val="es-AR"/>
              </w:rPr>
              <w:t>s</w:t>
            </w:r>
            <w:r>
              <w:rPr>
                <w:sz w:val="18"/>
                <w:szCs w:val="18"/>
                <w:lang w:val="es-AR"/>
              </w:rPr>
              <w:t xml:space="preserve"> de la Co</w:t>
            </w:r>
            <w:r>
              <w:rPr>
                <w:sz w:val="18"/>
                <w:szCs w:val="18"/>
                <w:lang w:val="es-AR"/>
              </w:rPr>
              <w:t>m</w:t>
            </w:r>
            <w:r>
              <w:rPr>
                <w:sz w:val="18"/>
                <w:szCs w:val="18"/>
                <w:lang w:val="es-AR"/>
              </w:rPr>
              <w:t xml:space="preserve">putación </w:t>
            </w:r>
          </w:p>
          <w:p w:rsidR="003C036D" w:rsidRPr="00A2331C" w:rsidRDefault="007C11D1" w:rsidP="002A1732">
            <w:pPr>
              <w:jc w:val="center"/>
              <w:rPr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Plan 20</w:t>
            </w:r>
            <w:r w:rsidR="002A1732">
              <w:rPr>
                <w:sz w:val="18"/>
                <w:szCs w:val="18"/>
                <w:lang w:val="es-AR"/>
              </w:rPr>
              <w:t>12</w:t>
            </w:r>
          </w:p>
        </w:tc>
      </w:tr>
      <w:tr w:rsidR="000C6480" w:rsidRPr="00EF6F0F" w:rsidTr="00B760E0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EF6F0F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Asig</w:t>
            </w:r>
            <w:r w:rsidR="00EF6F0F">
              <w:rPr>
                <w:sz w:val="16"/>
                <w:szCs w:val="16"/>
                <w:lang w:val="es-AR"/>
              </w:rPr>
              <w:t>natura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EF6F0F">
              <w:rPr>
                <w:sz w:val="16"/>
                <w:szCs w:val="16"/>
                <w:lang w:val="es-AR"/>
              </w:rPr>
              <w:t>a</w:t>
            </w:r>
            <w:r>
              <w:rPr>
                <w:sz w:val="16"/>
                <w:szCs w:val="16"/>
                <w:lang w:val="es-AR"/>
              </w:rPr>
              <w:t>probada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7C11D1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Asig.Extrac.Int</w:t>
            </w:r>
            <w:r w:rsidR="00EF6F0F">
              <w:rPr>
                <w:sz w:val="16"/>
                <w:szCs w:val="16"/>
                <w:lang w:val="es-AR"/>
              </w:rPr>
              <w:t>ernac.</w:t>
            </w:r>
            <w:r w:rsidRPr="007C11D1">
              <w:rPr>
                <w:sz w:val="16"/>
                <w:szCs w:val="16"/>
                <w:lang w:val="es-AR"/>
              </w:rPr>
              <w:t>.UNS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3C036D" w:rsidRPr="00EF6F0F" w:rsidRDefault="00EF6F0F" w:rsidP="00EF6F0F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8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2194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</w:rPr>
            </w:pPr>
            <w:r w:rsidRPr="00EF6F0F">
              <w:rPr>
                <w:sz w:val="16"/>
                <w:szCs w:val="16"/>
              </w:rPr>
              <w:t xml:space="preserve">Asig. Curricular </w:t>
            </w:r>
            <w:r>
              <w:rPr>
                <w:sz w:val="16"/>
                <w:szCs w:val="16"/>
              </w:rPr>
              <w:t>UNS</w:t>
            </w:r>
          </w:p>
        </w:tc>
      </w:tr>
      <w:tr w:rsidR="000C6480" w:rsidRPr="00F93D1E" w:rsidTr="00A777A9">
        <w:trPr>
          <w:trHeight w:val="1127"/>
        </w:trPr>
        <w:tc>
          <w:tcPr>
            <w:tcW w:w="1809" w:type="dxa"/>
            <w:shd w:val="clear" w:color="auto" w:fill="auto"/>
          </w:tcPr>
          <w:p w:rsidR="00D04BB9" w:rsidRDefault="00D04BB9" w:rsidP="00EF6F0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AC698F" w:rsidRDefault="00BF7906" w:rsidP="00A777A9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Electiva </w:t>
            </w:r>
            <w:r w:rsidR="00A777A9">
              <w:rPr>
                <w:sz w:val="18"/>
                <w:szCs w:val="18"/>
                <w:lang w:val="es-AR"/>
              </w:rPr>
              <w:t>Compleme</w:t>
            </w:r>
            <w:r w:rsidR="00A777A9">
              <w:rPr>
                <w:sz w:val="18"/>
                <w:szCs w:val="18"/>
                <w:lang w:val="es-AR"/>
              </w:rPr>
              <w:t>n</w:t>
            </w:r>
            <w:r w:rsidR="00A777A9">
              <w:rPr>
                <w:sz w:val="18"/>
                <w:szCs w:val="18"/>
                <w:lang w:val="es-AR"/>
              </w:rPr>
              <w:t>taria</w:t>
            </w:r>
            <w:r>
              <w:rPr>
                <w:sz w:val="18"/>
                <w:szCs w:val="18"/>
                <w:lang w:val="es-AR"/>
              </w:rPr>
              <w:t xml:space="preserve"> I </w:t>
            </w:r>
          </w:p>
        </w:tc>
        <w:tc>
          <w:tcPr>
            <w:tcW w:w="1084" w:type="dxa"/>
            <w:shd w:val="clear" w:color="auto" w:fill="auto"/>
          </w:tcPr>
          <w:p w:rsidR="00D04BB9" w:rsidRDefault="00D04BB9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4740B8" w:rsidRDefault="004740B8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0C6480" w:rsidP="00030A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4,7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030A23">
            <w:pPr>
              <w:jc w:val="center"/>
              <w:rPr>
                <w:sz w:val="18"/>
                <w:szCs w:val="18"/>
              </w:rPr>
            </w:pPr>
          </w:p>
          <w:p w:rsidR="00D04BB9" w:rsidRDefault="00D04BB9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D04BB9" w:rsidP="00030A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7816B1" w:rsidP="00A2331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7651</w:t>
            </w: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</w:tcPr>
          <w:p w:rsidR="00D04BB9" w:rsidRDefault="00D04BB9" w:rsidP="00F93D1E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D04BB9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0C6480">
            <w:pPr>
              <w:jc w:val="left"/>
              <w:rPr>
                <w:sz w:val="18"/>
                <w:szCs w:val="18"/>
                <w:lang w:val="es-AR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 xml:space="preserve">cional </w:t>
            </w:r>
            <w:r w:rsidR="000C6480">
              <w:rPr>
                <w:sz w:val="18"/>
                <w:szCs w:val="18"/>
                <w:lang w:val="es-AR"/>
              </w:rPr>
              <w:t>III</w:t>
            </w:r>
            <w:r w:rsidRPr="00030A23">
              <w:rPr>
                <w:sz w:val="18"/>
                <w:szCs w:val="18"/>
                <w:lang w:val="es-AR"/>
              </w:rPr>
              <w:t xml:space="preserve"> CIC</w:t>
            </w:r>
          </w:p>
        </w:tc>
        <w:tc>
          <w:tcPr>
            <w:tcW w:w="998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52729">
            <w:pPr>
              <w:rPr>
                <w:sz w:val="18"/>
                <w:szCs w:val="18"/>
                <w:lang w:val="es-AR"/>
              </w:rPr>
            </w:pPr>
          </w:p>
          <w:p w:rsidR="00D04BB9" w:rsidRPr="00A52729" w:rsidRDefault="00D04BB9" w:rsidP="004740B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688" w:type="dxa"/>
            <w:vMerge w:val="restart"/>
            <w:shd w:val="clear" w:color="auto" w:fill="auto"/>
          </w:tcPr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Pr="00030A23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7502</w:t>
            </w:r>
          </w:p>
        </w:tc>
        <w:tc>
          <w:tcPr>
            <w:tcW w:w="2194" w:type="dxa"/>
            <w:vMerge w:val="restart"/>
            <w:shd w:val="clear" w:color="auto" w:fill="auto"/>
          </w:tcPr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Administración de Proye</w:t>
            </w:r>
            <w:r w:rsidRPr="00AC698F">
              <w:rPr>
                <w:sz w:val="18"/>
                <w:szCs w:val="18"/>
                <w:lang w:val="es-AR"/>
              </w:rPr>
              <w:t>c</w:t>
            </w:r>
            <w:r w:rsidRPr="00AC698F">
              <w:rPr>
                <w:sz w:val="18"/>
                <w:szCs w:val="18"/>
                <w:lang w:val="es-AR"/>
              </w:rPr>
              <w:t>tos de Software</w:t>
            </w:r>
          </w:p>
          <w:p w:rsidR="00D04BB9" w:rsidRPr="00A52729" w:rsidRDefault="00D04BB9" w:rsidP="00A52729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(previo cumplimiento de lo indicado a fojas </w:t>
            </w:r>
            <w:r w:rsidR="00B760E0">
              <w:rPr>
                <w:sz w:val="18"/>
                <w:szCs w:val="18"/>
                <w:lang w:val="es-AR"/>
              </w:rPr>
              <w:t>49</w:t>
            </w:r>
            <w:r w:rsidR="005C3E37">
              <w:rPr>
                <w:sz w:val="18"/>
                <w:szCs w:val="18"/>
                <w:lang w:val="es-AR"/>
              </w:rPr>
              <w:t>)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0C6480" w:rsidRPr="00A2331C" w:rsidTr="00B760E0">
        <w:tc>
          <w:tcPr>
            <w:tcW w:w="1809" w:type="dxa"/>
            <w:shd w:val="clear" w:color="auto" w:fill="auto"/>
          </w:tcPr>
          <w:p w:rsidR="000C6480" w:rsidRPr="00AC698F" w:rsidRDefault="000C6480" w:rsidP="000C6480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Gerencia de Proye</w:t>
            </w:r>
            <w:r>
              <w:rPr>
                <w:sz w:val="18"/>
                <w:szCs w:val="18"/>
                <w:lang w:val="es-AR"/>
              </w:rPr>
              <w:t>c</w:t>
            </w:r>
            <w:r>
              <w:rPr>
                <w:sz w:val="18"/>
                <w:szCs w:val="18"/>
                <w:lang w:val="es-AR"/>
              </w:rPr>
              <w:t xml:space="preserve">tos de Tecnología </w:t>
            </w:r>
          </w:p>
        </w:tc>
        <w:tc>
          <w:tcPr>
            <w:tcW w:w="1084" w:type="dxa"/>
            <w:shd w:val="clear" w:color="auto" w:fill="auto"/>
          </w:tcPr>
          <w:p w:rsidR="00B760E0" w:rsidRDefault="00B760E0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0C6480" w:rsidRDefault="00B760E0" w:rsidP="00030A2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4,1</w:t>
            </w:r>
          </w:p>
        </w:tc>
        <w:tc>
          <w:tcPr>
            <w:tcW w:w="972" w:type="dxa"/>
            <w:shd w:val="clear" w:color="auto" w:fill="auto"/>
          </w:tcPr>
          <w:p w:rsidR="00B760E0" w:rsidRDefault="00B760E0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0C6480" w:rsidRPr="000C6480" w:rsidRDefault="007816B1" w:rsidP="007816B1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7650</w:t>
            </w:r>
          </w:p>
        </w:tc>
        <w:tc>
          <w:tcPr>
            <w:tcW w:w="1940" w:type="dxa"/>
            <w:shd w:val="clear" w:color="auto" w:fill="auto"/>
          </w:tcPr>
          <w:p w:rsidR="00B760E0" w:rsidRDefault="00B760E0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0C6480" w:rsidRPr="00030A23" w:rsidRDefault="000C6480" w:rsidP="00AC698F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 Intern</w:t>
            </w:r>
            <w:r>
              <w:rPr>
                <w:sz w:val="18"/>
                <w:szCs w:val="18"/>
                <w:lang w:val="es-AR"/>
              </w:rPr>
              <w:t>a</w:t>
            </w:r>
            <w:r>
              <w:rPr>
                <w:sz w:val="18"/>
                <w:szCs w:val="18"/>
                <w:lang w:val="es-AR"/>
              </w:rPr>
              <w:t xml:space="preserve">cional </w:t>
            </w:r>
            <w:r w:rsidR="00B760E0">
              <w:rPr>
                <w:sz w:val="18"/>
                <w:szCs w:val="18"/>
                <w:lang w:val="es-AR"/>
              </w:rPr>
              <w:t>II CIC</w:t>
            </w:r>
          </w:p>
        </w:tc>
        <w:tc>
          <w:tcPr>
            <w:tcW w:w="998" w:type="dxa"/>
            <w:shd w:val="clear" w:color="auto" w:fill="auto"/>
          </w:tcPr>
          <w:p w:rsidR="008640B2" w:rsidRDefault="008640B2" w:rsidP="0047699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0C6480" w:rsidRPr="000C6480" w:rsidRDefault="00B760E0" w:rsidP="0047699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8</w:t>
            </w:r>
          </w:p>
        </w:tc>
        <w:tc>
          <w:tcPr>
            <w:tcW w:w="688" w:type="dxa"/>
            <w:vMerge/>
            <w:shd w:val="clear" w:color="auto" w:fill="auto"/>
          </w:tcPr>
          <w:p w:rsidR="000C6480" w:rsidRPr="000C6480" w:rsidRDefault="000C6480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2194" w:type="dxa"/>
            <w:vMerge/>
            <w:shd w:val="clear" w:color="auto" w:fill="auto"/>
          </w:tcPr>
          <w:p w:rsidR="000C6480" w:rsidRDefault="000C6480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0C6480" w:rsidRPr="00A2331C" w:rsidTr="00A777A9">
        <w:trPr>
          <w:trHeight w:val="70"/>
        </w:trPr>
        <w:tc>
          <w:tcPr>
            <w:tcW w:w="1809" w:type="dxa"/>
            <w:shd w:val="clear" w:color="auto" w:fill="auto"/>
          </w:tcPr>
          <w:p w:rsidR="00B760E0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Auditoría de Sistemas</w:t>
            </w:r>
          </w:p>
        </w:tc>
        <w:tc>
          <w:tcPr>
            <w:tcW w:w="1084" w:type="dxa"/>
            <w:shd w:val="clear" w:color="auto" w:fill="auto"/>
          </w:tcPr>
          <w:p w:rsidR="00B760E0" w:rsidRDefault="00B760E0" w:rsidP="00B760E0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D04BB9" w:rsidRDefault="00B760E0" w:rsidP="00B760E0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3,2</w:t>
            </w:r>
          </w:p>
        </w:tc>
        <w:tc>
          <w:tcPr>
            <w:tcW w:w="972" w:type="dxa"/>
            <w:shd w:val="clear" w:color="auto" w:fill="auto"/>
          </w:tcPr>
          <w:p w:rsidR="00B760E0" w:rsidRDefault="00B760E0" w:rsidP="00AC698F">
            <w:pPr>
              <w:jc w:val="left"/>
              <w:rPr>
                <w:sz w:val="18"/>
                <w:szCs w:val="18"/>
              </w:rPr>
            </w:pPr>
          </w:p>
          <w:p w:rsidR="00D04BB9" w:rsidRDefault="007816B1" w:rsidP="00AC69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7649</w:t>
            </w:r>
          </w:p>
        </w:tc>
        <w:tc>
          <w:tcPr>
            <w:tcW w:w="1940" w:type="dxa"/>
            <w:shd w:val="clear" w:color="auto" w:fill="auto"/>
          </w:tcPr>
          <w:p w:rsidR="00B760E0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B760E0">
            <w:pPr>
              <w:jc w:val="left"/>
              <w:rPr>
                <w:sz w:val="18"/>
                <w:szCs w:val="18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>cional I CIC</w:t>
            </w:r>
          </w:p>
        </w:tc>
        <w:tc>
          <w:tcPr>
            <w:tcW w:w="998" w:type="dxa"/>
            <w:shd w:val="clear" w:color="auto" w:fill="auto"/>
          </w:tcPr>
          <w:p w:rsidR="008640B2" w:rsidRDefault="008640B2" w:rsidP="00B760E0">
            <w:pPr>
              <w:jc w:val="center"/>
              <w:rPr>
                <w:sz w:val="18"/>
                <w:szCs w:val="18"/>
              </w:rPr>
            </w:pPr>
          </w:p>
          <w:p w:rsidR="00D04BB9" w:rsidRDefault="00B760E0" w:rsidP="00B76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88" w:type="dxa"/>
            <w:vMerge/>
            <w:shd w:val="clear" w:color="auto" w:fill="auto"/>
          </w:tcPr>
          <w:p w:rsidR="00D04BB9" w:rsidRPr="00AC698F" w:rsidRDefault="00D04BB9" w:rsidP="00AC69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4" w:type="dxa"/>
            <w:vMerge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0C6480" w:rsidRPr="00A2331C" w:rsidTr="00A777A9">
        <w:trPr>
          <w:trHeight w:val="70"/>
        </w:trPr>
        <w:tc>
          <w:tcPr>
            <w:tcW w:w="1809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AC698F" w:rsidRPr="00AC698F" w:rsidRDefault="00BF7906" w:rsidP="00BF7906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Electiva de Profund</w:t>
            </w:r>
            <w:r>
              <w:rPr>
                <w:sz w:val="18"/>
                <w:szCs w:val="18"/>
                <w:lang w:val="es-AR"/>
              </w:rPr>
              <w:t>i</w:t>
            </w:r>
            <w:r>
              <w:rPr>
                <w:sz w:val="18"/>
                <w:szCs w:val="18"/>
                <w:lang w:val="es-AR"/>
              </w:rPr>
              <w:t>zación II (</w:t>
            </w:r>
            <w:r w:rsidR="00B760E0">
              <w:rPr>
                <w:sz w:val="18"/>
                <w:szCs w:val="18"/>
                <w:lang w:val="es-AR"/>
              </w:rPr>
              <w:t>Arquitect</w:t>
            </w:r>
            <w:r w:rsidR="00B760E0">
              <w:rPr>
                <w:sz w:val="18"/>
                <w:szCs w:val="18"/>
                <w:lang w:val="es-AR"/>
              </w:rPr>
              <w:t>u</w:t>
            </w:r>
            <w:r w:rsidR="00B760E0">
              <w:rPr>
                <w:sz w:val="18"/>
                <w:szCs w:val="18"/>
                <w:lang w:val="es-AR"/>
              </w:rPr>
              <w:t>ra Web</w:t>
            </w:r>
            <w:r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1084" w:type="dxa"/>
            <w:shd w:val="clear" w:color="auto" w:fill="auto"/>
          </w:tcPr>
          <w:p w:rsidR="00030A23" w:rsidRDefault="00030A23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AC698F" w:rsidRPr="00AC698F" w:rsidRDefault="00B760E0" w:rsidP="00B76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AR"/>
              </w:rPr>
              <w:t>4,3</w:t>
            </w:r>
          </w:p>
        </w:tc>
        <w:tc>
          <w:tcPr>
            <w:tcW w:w="972" w:type="dxa"/>
            <w:shd w:val="clear" w:color="auto" w:fill="auto"/>
          </w:tcPr>
          <w:p w:rsidR="00B760E0" w:rsidRDefault="00B760E0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7816B1" w:rsidP="007816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7653</w:t>
            </w:r>
          </w:p>
        </w:tc>
        <w:tc>
          <w:tcPr>
            <w:tcW w:w="1940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AC698F" w:rsidP="008640B2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Extracurricular Inter</w:t>
            </w:r>
            <w:r w:rsidR="008640B2">
              <w:rPr>
                <w:sz w:val="18"/>
                <w:szCs w:val="18"/>
              </w:rPr>
              <w:t>n</w:t>
            </w:r>
            <w:r w:rsidR="008640B2">
              <w:rPr>
                <w:sz w:val="18"/>
                <w:szCs w:val="18"/>
              </w:rPr>
              <w:t>a</w:t>
            </w:r>
            <w:r w:rsidRPr="00AC698F">
              <w:rPr>
                <w:sz w:val="18"/>
                <w:szCs w:val="18"/>
              </w:rPr>
              <w:t>ciona</w:t>
            </w:r>
            <w:r w:rsidR="00D04BB9">
              <w:rPr>
                <w:sz w:val="18"/>
                <w:szCs w:val="18"/>
              </w:rPr>
              <w:t>l</w:t>
            </w:r>
            <w:r w:rsidRPr="00AC698F">
              <w:rPr>
                <w:sz w:val="18"/>
                <w:szCs w:val="18"/>
              </w:rPr>
              <w:t xml:space="preserve"> </w:t>
            </w:r>
            <w:r w:rsidR="00B760E0">
              <w:rPr>
                <w:sz w:val="18"/>
                <w:szCs w:val="18"/>
              </w:rPr>
              <w:t>V</w:t>
            </w:r>
            <w:r w:rsidRPr="00AC698F">
              <w:rPr>
                <w:sz w:val="18"/>
                <w:szCs w:val="18"/>
              </w:rPr>
              <w:t xml:space="preserve"> CIC</w:t>
            </w:r>
          </w:p>
        </w:tc>
        <w:tc>
          <w:tcPr>
            <w:tcW w:w="998" w:type="dxa"/>
            <w:shd w:val="clear" w:color="auto" w:fill="auto"/>
          </w:tcPr>
          <w:p w:rsidR="00476993" w:rsidRDefault="00476993" w:rsidP="00476993">
            <w:pPr>
              <w:jc w:val="center"/>
              <w:rPr>
                <w:sz w:val="18"/>
                <w:szCs w:val="18"/>
              </w:rPr>
            </w:pPr>
          </w:p>
          <w:p w:rsidR="00AC698F" w:rsidRPr="00AC698F" w:rsidRDefault="00B760E0" w:rsidP="00B76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88" w:type="dxa"/>
            <w:shd w:val="clear" w:color="auto" w:fill="auto"/>
          </w:tcPr>
          <w:p w:rsidR="00AC698F" w:rsidRPr="00AC698F" w:rsidRDefault="00AC698F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B760E0" w:rsidP="00B760E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7680</w:t>
            </w:r>
          </w:p>
        </w:tc>
        <w:tc>
          <w:tcPr>
            <w:tcW w:w="2194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AC698F" w:rsidRPr="00AC698F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Ingeniería de Aplicaciones</w:t>
            </w:r>
            <w:r w:rsidR="00BF7906">
              <w:rPr>
                <w:sz w:val="18"/>
                <w:szCs w:val="18"/>
                <w:lang w:val="es-AR"/>
              </w:rPr>
              <w:t xml:space="preserve"> de</w:t>
            </w:r>
            <w:r>
              <w:rPr>
                <w:sz w:val="18"/>
                <w:szCs w:val="18"/>
                <w:lang w:val="es-AR"/>
              </w:rPr>
              <w:t xml:space="preserve"> Web(previo cumpl</w:t>
            </w:r>
            <w:r>
              <w:rPr>
                <w:sz w:val="18"/>
                <w:szCs w:val="18"/>
                <w:lang w:val="es-AR"/>
              </w:rPr>
              <w:t>i</w:t>
            </w:r>
            <w:r>
              <w:rPr>
                <w:sz w:val="18"/>
                <w:szCs w:val="18"/>
                <w:lang w:val="es-AR"/>
              </w:rPr>
              <w:t>miento de lo indicado a fojas 49)</w:t>
            </w:r>
          </w:p>
        </w:tc>
      </w:tr>
    </w:tbl>
    <w:p w:rsidR="004740B8" w:rsidRDefault="004740B8" w:rsidP="00110B3F">
      <w:pPr>
        <w:rPr>
          <w:rFonts w:ascii="Arial" w:hAnsi="Arial" w:cs="Arial"/>
          <w:b/>
          <w:lang w:val="es-ES"/>
        </w:rPr>
      </w:pPr>
    </w:p>
    <w:p w:rsidR="00543B3B" w:rsidRPr="003B2ED6" w:rsidRDefault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Registrar; comunicar; pasar a la Dirección de Alumnos y Estudios; cumplido, archivar.----------------------------------------------------------------------------------------------------------</w:t>
      </w:r>
    </w:p>
    <w:sectPr w:rsidR="00543B3B" w:rsidRPr="003B2ED6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324" w:rsidRDefault="00301324" w:rsidP="009F6C16">
      <w:r>
        <w:separator/>
      </w:r>
    </w:p>
  </w:endnote>
  <w:endnote w:type="continuationSeparator" w:id="1">
    <w:p w:rsidR="00301324" w:rsidRDefault="00301324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324" w:rsidRDefault="00301324" w:rsidP="009F6C16">
      <w:r>
        <w:separator/>
      </w:r>
    </w:p>
  </w:footnote>
  <w:footnote w:type="continuationSeparator" w:id="1">
    <w:p w:rsidR="00301324" w:rsidRDefault="00301324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06E1A"/>
    <w:rsid w:val="00014BB3"/>
    <w:rsid w:val="000229AA"/>
    <w:rsid w:val="00030A23"/>
    <w:rsid w:val="00070D12"/>
    <w:rsid w:val="0007566A"/>
    <w:rsid w:val="000761F1"/>
    <w:rsid w:val="00093D10"/>
    <w:rsid w:val="000C31FF"/>
    <w:rsid w:val="000C6480"/>
    <w:rsid w:val="000D06A5"/>
    <w:rsid w:val="000D61E1"/>
    <w:rsid w:val="000F4FD4"/>
    <w:rsid w:val="00110B3F"/>
    <w:rsid w:val="001275B5"/>
    <w:rsid w:val="0013612C"/>
    <w:rsid w:val="001E27A7"/>
    <w:rsid w:val="002A1732"/>
    <w:rsid w:val="002A4573"/>
    <w:rsid w:val="002C17B0"/>
    <w:rsid w:val="002D19FB"/>
    <w:rsid w:val="002E42C5"/>
    <w:rsid w:val="00301324"/>
    <w:rsid w:val="00327C13"/>
    <w:rsid w:val="00366825"/>
    <w:rsid w:val="00397D6B"/>
    <w:rsid w:val="003B2ED6"/>
    <w:rsid w:val="003C036D"/>
    <w:rsid w:val="003C6647"/>
    <w:rsid w:val="003D20C7"/>
    <w:rsid w:val="003E0326"/>
    <w:rsid w:val="004303DF"/>
    <w:rsid w:val="004308FC"/>
    <w:rsid w:val="004740B8"/>
    <w:rsid w:val="00476993"/>
    <w:rsid w:val="004C79AC"/>
    <w:rsid w:val="005176DF"/>
    <w:rsid w:val="00543B3B"/>
    <w:rsid w:val="005C3E37"/>
    <w:rsid w:val="005E3B4F"/>
    <w:rsid w:val="005F5A9E"/>
    <w:rsid w:val="00613F1B"/>
    <w:rsid w:val="006250B9"/>
    <w:rsid w:val="0063404C"/>
    <w:rsid w:val="00636FAF"/>
    <w:rsid w:val="006661F5"/>
    <w:rsid w:val="006A3CB2"/>
    <w:rsid w:val="006E059B"/>
    <w:rsid w:val="00720D73"/>
    <w:rsid w:val="007816B1"/>
    <w:rsid w:val="00792402"/>
    <w:rsid w:val="007B61C8"/>
    <w:rsid w:val="007C11D1"/>
    <w:rsid w:val="007C4FED"/>
    <w:rsid w:val="0083584F"/>
    <w:rsid w:val="008640B2"/>
    <w:rsid w:val="008D137E"/>
    <w:rsid w:val="008D4C0A"/>
    <w:rsid w:val="008E1CDF"/>
    <w:rsid w:val="008E7D8C"/>
    <w:rsid w:val="008F1B85"/>
    <w:rsid w:val="0090046F"/>
    <w:rsid w:val="00913332"/>
    <w:rsid w:val="00924663"/>
    <w:rsid w:val="00950BE0"/>
    <w:rsid w:val="00966100"/>
    <w:rsid w:val="00971198"/>
    <w:rsid w:val="00990B50"/>
    <w:rsid w:val="009974B0"/>
    <w:rsid w:val="009A2F72"/>
    <w:rsid w:val="009E2233"/>
    <w:rsid w:val="009F6C16"/>
    <w:rsid w:val="00A2331C"/>
    <w:rsid w:val="00A5214F"/>
    <w:rsid w:val="00A52729"/>
    <w:rsid w:val="00A777A9"/>
    <w:rsid w:val="00A8682B"/>
    <w:rsid w:val="00A93AC5"/>
    <w:rsid w:val="00AB5081"/>
    <w:rsid w:val="00AC698F"/>
    <w:rsid w:val="00B01F8D"/>
    <w:rsid w:val="00B4434D"/>
    <w:rsid w:val="00B46E28"/>
    <w:rsid w:val="00B6141D"/>
    <w:rsid w:val="00B760E0"/>
    <w:rsid w:val="00BB7CE5"/>
    <w:rsid w:val="00BF7906"/>
    <w:rsid w:val="00C0547C"/>
    <w:rsid w:val="00C5756F"/>
    <w:rsid w:val="00C90CB4"/>
    <w:rsid w:val="00CE1D28"/>
    <w:rsid w:val="00CF4CCF"/>
    <w:rsid w:val="00D025A6"/>
    <w:rsid w:val="00D04BB9"/>
    <w:rsid w:val="00D639AD"/>
    <w:rsid w:val="00D85837"/>
    <w:rsid w:val="00E04FDD"/>
    <w:rsid w:val="00E07435"/>
    <w:rsid w:val="00E3378C"/>
    <w:rsid w:val="00E42963"/>
    <w:rsid w:val="00EB4DA2"/>
    <w:rsid w:val="00EC0641"/>
    <w:rsid w:val="00EE7538"/>
    <w:rsid w:val="00EF3A03"/>
    <w:rsid w:val="00EF6F0F"/>
    <w:rsid w:val="00F01E90"/>
    <w:rsid w:val="00F03B29"/>
    <w:rsid w:val="00F123BF"/>
    <w:rsid w:val="00F23617"/>
    <w:rsid w:val="00F33318"/>
    <w:rsid w:val="00F6674D"/>
    <w:rsid w:val="00F7127D"/>
    <w:rsid w:val="00F93D1E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308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308F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85A43-F2D4-4404-8BE3-BDB7B1A8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2017-03-23T14:52:00Z</cp:lastPrinted>
  <dcterms:created xsi:type="dcterms:W3CDTF">2025-07-06T18:54:00Z</dcterms:created>
  <dcterms:modified xsi:type="dcterms:W3CDTF">2025-07-06T18:54:00Z</dcterms:modified>
</cp:coreProperties>
</file>