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2118F2">
        <w:rPr>
          <w:rFonts w:ascii="Arial" w:hAnsi="Arial" w:cs="Arial"/>
          <w:b/>
          <w:sz w:val="24"/>
          <w:lang w:val="es-ES_tradnl"/>
        </w:rPr>
        <w:t>0</w:t>
      </w:r>
      <w:r w:rsidR="009C44D0">
        <w:rPr>
          <w:rFonts w:ascii="Arial" w:hAnsi="Arial" w:cs="Arial"/>
          <w:b/>
          <w:sz w:val="24"/>
          <w:lang w:val="es-ES_tradnl"/>
        </w:rPr>
        <w:t>27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FA528F">
        <w:rPr>
          <w:rFonts w:ascii="Arial" w:hAnsi="Arial" w:cs="Arial"/>
          <w:b/>
          <w:sz w:val="24"/>
          <w:lang w:val="es-ES_tradnl"/>
        </w:rPr>
        <w:t>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47BC0" w:rsidRDefault="008662A7" w:rsidP="00C167D3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FA528F">
        <w:t>076</w:t>
      </w:r>
      <w:r w:rsidR="007E015E">
        <w:t>/1</w:t>
      </w:r>
      <w:r w:rsidR="00FA528F">
        <w:t>7</w:t>
      </w:r>
      <w:r w:rsidR="00DC7141">
        <w:t xml:space="preserve"> </w:t>
      </w:r>
      <w:r>
        <w:t>mediante</w:t>
      </w:r>
      <w:r w:rsidR="00664FBA">
        <w:t xml:space="preserve"> la cual </w:t>
      </w:r>
      <w:r w:rsidR="000A06BD">
        <w:t xml:space="preserve">se aprueban las equivalencias de las asignaturas aprobadas por el alumno </w:t>
      </w:r>
      <w:r w:rsidR="005A21A5">
        <w:t xml:space="preserve">de Grado </w:t>
      </w:r>
      <w:r w:rsidR="00FA528F">
        <w:t>Federico QUATTROCCHIO</w:t>
      </w:r>
      <w:r w:rsidR="005A21A5">
        <w:t xml:space="preserve"> </w:t>
      </w:r>
      <w:r w:rsidR="000A06BD">
        <w:t>(L</w:t>
      </w:r>
      <w:r w:rsidR="005A21A5">
        <w:t>U</w:t>
      </w:r>
      <w:r w:rsidR="000A06BD">
        <w:t xml:space="preserve">. </w:t>
      </w:r>
      <w:r w:rsidR="005A21A5">
        <w:t>9</w:t>
      </w:r>
      <w:r w:rsidR="00FA528F">
        <w:t>7417</w:t>
      </w:r>
      <w:r w:rsidR="000A06BD">
        <w:t xml:space="preserve">) en </w:t>
      </w:r>
      <w:r w:rsidR="005A21A5">
        <w:t xml:space="preserve">La Universidad </w:t>
      </w:r>
      <w:r w:rsidR="00FA528F">
        <w:t>Autónoma de Baja California</w:t>
      </w:r>
      <w:r w:rsidR="005A21A5">
        <w:t xml:space="preserve"> </w:t>
      </w:r>
      <w:r w:rsidR="000A06BD">
        <w:t>(México) en el marco del Programa JIMA</w:t>
      </w:r>
      <w:r w:rsidR="00E30471">
        <w:t>;</w:t>
      </w:r>
    </w:p>
    <w:p w:rsidR="00960D7C" w:rsidRPr="00950BB7" w:rsidRDefault="00960D7C" w:rsidP="00950BB7">
      <w:pPr>
        <w:pStyle w:val="Ttulo4"/>
        <w:ind w:left="0" w:firstLine="0"/>
      </w:pPr>
    </w:p>
    <w:p w:rsidR="00D00130" w:rsidRDefault="00BE45BA" w:rsidP="00950BB7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952960" w:rsidRPr="00B96D89" w:rsidRDefault="00952960" w:rsidP="00952960">
      <w:pPr>
        <w:rPr>
          <w:lang w:val="es-AR"/>
        </w:rPr>
      </w:pPr>
    </w:p>
    <w:p w:rsidR="00952960" w:rsidRDefault="00952960" w:rsidP="00952960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Dirección de </w:t>
      </w:r>
      <w:r w:rsidR="00FA528F">
        <w:rPr>
          <w:rFonts w:ascii="Arial" w:hAnsi="Arial" w:cs="Arial"/>
          <w:sz w:val="24"/>
          <w:lang w:val="es-AR"/>
        </w:rPr>
        <w:t xml:space="preserve">Gestión Administrativa Curricular </w:t>
      </w:r>
      <w:r>
        <w:rPr>
          <w:rFonts w:ascii="Arial" w:hAnsi="Arial" w:cs="Arial"/>
          <w:sz w:val="24"/>
          <w:lang w:val="es-AR"/>
        </w:rPr>
        <w:t xml:space="preserve">en su nota de foja </w:t>
      </w:r>
      <w:r w:rsidR="005A21A5">
        <w:rPr>
          <w:rFonts w:ascii="Arial" w:hAnsi="Arial" w:cs="Arial"/>
          <w:sz w:val="24"/>
          <w:lang w:val="es-AR"/>
        </w:rPr>
        <w:t>5</w:t>
      </w:r>
      <w:r w:rsidR="00FA528F">
        <w:rPr>
          <w:rFonts w:ascii="Arial" w:hAnsi="Arial" w:cs="Arial"/>
          <w:sz w:val="24"/>
          <w:lang w:val="es-AR"/>
        </w:rPr>
        <w:t>9</w:t>
      </w:r>
      <w:r w:rsidR="005A21A5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solicita la corrección de</w:t>
      </w:r>
      <w:r w:rsidR="00FA528F">
        <w:rPr>
          <w:rFonts w:ascii="Arial" w:hAnsi="Arial" w:cs="Arial"/>
          <w:sz w:val="24"/>
          <w:lang w:val="es-AR"/>
        </w:rPr>
        <w:t xml:space="preserve"> </w:t>
      </w:r>
      <w:r w:rsidR="00292D6D">
        <w:rPr>
          <w:rFonts w:ascii="Arial" w:hAnsi="Arial" w:cs="Arial"/>
          <w:sz w:val="24"/>
          <w:lang w:val="es-AR"/>
        </w:rPr>
        <w:t>l</w:t>
      </w:r>
      <w:r w:rsidR="00FA528F">
        <w:rPr>
          <w:rFonts w:ascii="Arial" w:hAnsi="Arial" w:cs="Arial"/>
          <w:sz w:val="24"/>
          <w:lang w:val="es-AR"/>
        </w:rPr>
        <w:t>a calificación de la as</w:t>
      </w:r>
      <w:r w:rsidR="005A21A5">
        <w:rPr>
          <w:rFonts w:ascii="Arial" w:hAnsi="Arial" w:cs="Arial"/>
          <w:sz w:val="24"/>
          <w:lang w:val="es-AR"/>
        </w:rPr>
        <w:t xml:space="preserve">ignatura </w:t>
      </w:r>
      <w:r w:rsidR="00FA528F">
        <w:rPr>
          <w:rFonts w:ascii="Arial" w:hAnsi="Arial" w:cs="Arial"/>
          <w:sz w:val="24"/>
          <w:lang w:val="es-AR"/>
        </w:rPr>
        <w:t xml:space="preserve">Extracurricular Internacional II CIC y el registro de la asignatura Extracurricular Internacional  III CIC </w:t>
      </w:r>
      <w:r w:rsidR="005E2E35">
        <w:rPr>
          <w:rFonts w:ascii="Arial" w:hAnsi="Arial" w:cs="Arial"/>
          <w:sz w:val="24"/>
          <w:lang w:val="es-AR"/>
        </w:rPr>
        <w:t xml:space="preserve">; </w:t>
      </w:r>
    </w:p>
    <w:p w:rsidR="00C4032D" w:rsidRDefault="00C4032D" w:rsidP="00950BB7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0A06BD" w:rsidP="0025679E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>Por ello</w:t>
      </w:r>
      <w:r w:rsidR="00960D7C">
        <w:rPr>
          <w:rFonts w:cs="Arial"/>
          <w:lang w:val="es-ES"/>
        </w:rPr>
        <w:t xml:space="preserve">, </w:t>
      </w: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5A21A5" w:rsidRDefault="00960D7C" w:rsidP="000A06B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0A06BD">
        <w:rPr>
          <w:rFonts w:ascii="Arial" w:hAnsi="Arial"/>
          <w:sz w:val="24"/>
          <w:lang w:val="es-ES_tradnl"/>
        </w:rPr>
        <w:t>car</w:t>
      </w:r>
      <w:r w:rsidR="008662A7">
        <w:rPr>
          <w:rFonts w:ascii="Arial" w:hAnsi="Arial"/>
          <w:sz w:val="24"/>
          <w:lang w:val="es-ES_tradnl"/>
        </w:rPr>
        <w:t xml:space="preserve"> el Art. 1º)</w:t>
      </w:r>
      <w:r w:rsidR="001A0349">
        <w:rPr>
          <w:rFonts w:ascii="Arial" w:hAnsi="Arial"/>
          <w:sz w:val="24"/>
          <w:lang w:val="es-ES_tradnl"/>
        </w:rPr>
        <w:t xml:space="preserve"> </w:t>
      </w:r>
      <w:r w:rsidR="000A06BD">
        <w:rPr>
          <w:rFonts w:ascii="Arial" w:hAnsi="Arial"/>
          <w:sz w:val="24"/>
          <w:lang w:val="es-ES_tradnl"/>
        </w:rPr>
        <w:t>de la Resolución CDCIC-</w:t>
      </w:r>
      <w:r w:rsidR="00FA528F">
        <w:rPr>
          <w:rFonts w:ascii="Arial" w:hAnsi="Arial"/>
          <w:sz w:val="24"/>
          <w:lang w:val="es-ES_tradnl"/>
        </w:rPr>
        <w:t>076</w:t>
      </w:r>
      <w:r w:rsidR="00CE35AC">
        <w:rPr>
          <w:rFonts w:ascii="Arial" w:hAnsi="Arial"/>
          <w:sz w:val="24"/>
          <w:lang w:val="es-ES_tradnl"/>
        </w:rPr>
        <w:t>/1</w:t>
      </w:r>
      <w:r w:rsidR="00FA528F">
        <w:rPr>
          <w:rFonts w:ascii="Arial" w:hAnsi="Arial"/>
          <w:sz w:val="24"/>
          <w:lang w:val="es-ES_tradnl"/>
        </w:rPr>
        <w:t>7</w:t>
      </w:r>
      <w:r w:rsidR="000A06BD">
        <w:rPr>
          <w:rFonts w:ascii="Arial" w:hAnsi="Arial"/>
          <w:sz w:val="24"/>
          <w:lang w:val="es-ES_tradnl"/>
        </w:rPr>
        <w:t xml:space="preserve"> </w:t>
      </w:r>
      <w:r w:rsidR="00292D6D">
        <w:rPr>
          <w:rFonts w:ascii="Arial" w:hAnsi="Arial"/>
          <w:sz w:val="24"/>
          <w:lang w:val="es-ES_tradnl"/>
        </w:rPr>
        <w:t xml:space="preserve">con el fin de consignar correctamente </w:t>
      </w:r>
      <w:r w:rsidR="005E2E35">
        <w:rPr>
          <w:rFonts w:ascii="Arial" w:hAnsi="Arial"/>
          <w:sz w:val="24"/>
          <w:lang w:val="es-ES_tradnl"/>
        </w:rPr>
        <w:t>los siguientes datos:</w:t>
      </w:r>
    </w:p>
    <w:p w:rsidR="005A21A5" w:rsidRDefault="005A21A5" w:rsidP="000A06BD">
      <w:pPr>
        <w:jc w:val="both"/>
        <w:rPr>
          <w:rFonts w:ascii="Arial" w:hAnsi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6"/>
        <w:gridCol w:w="1224"/>
        <w:gridCol w:w="970"/>
        <w:gridCol w:w="1942"/>
        <w:gridCol w:w="1006"/>
        <w:gridCol w:w="689"/>
        <w:gridCol w:w="2188"/>
      </w:tblGrid>
      <w:tr w:rsidR="005A21A5" w:rsidRPr="005A21A5" w:rsidTr="00FA528F">
        <w:tc>
          <w:tcPr>
            <w:tcW w:w="2890" w:type="dxa"/>
            <w:gridSpan w:val="2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FA528F" w:rsidRPr="00FA528F" w:rsidRDefault="00FA528F" w:rsidP="00FA528F">
            <w:pPr>
              <w:jc w:val="center"/>
              <w:rPr>
                <w:sz w:val="18"/>
                <w:szCs w:val="18"/>
                <w:lang w:val="es-AR"/>
              </w:rPr>
            </w:pPr>
            <w:r w:rsidRPr="00FA528F">
              <w:rPr>
                <w:sz w:val="18"/>
                <w:szCs w:val="18"/>
                <w:lang w:val="es-AR"/>
              </w:rPr>
              <w:t>Universidad Autónoma de Baja California</w:t>
            </w:r>
          </w:p>
          <w:p w:rsidR="005A21A5" w:rsidRPr="005A21A5" w:rsidRDefault="00FA528F" w:rsidP="00FA528F">
            <w:pPr>
              <w:jc w:val="center"/>
              <w:rPr>
                <w:sz w:val="24"/>
                <w:szCs w:val="24"/>
                <w:lang w:val="es-AR"/>
              </w:rPr>
            </w:pPr>
            <w:r w:rsidRPr="00FA528F">
              <w:rPr>
                <w:sz w:val="18"/>
                <w:szCs w:val="18"/>
                <w:lang w:val="es-AR"/>
              </w:rPr>
              <w:t>(México)</w:t>
            </w:r>
          </w:p>
        </w:tc>
        <w:tc>
          <w:tcPr>
            <w:tcW w:w="3918" w:type="dxa"/>
            <w:gridSpan w:val="3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UNS</w:t>
            </w: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Extracurricular</w:t>
            </w:r>
          </w:p>
        </w:tc>
        <w:tc>
          <w:tcPr>
            <w:tcW w:w="2877" w:type="dxa"/>
            <w:gridSpan w:val="2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UNS</w:t>
            </w: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 xml:space="preserve">Licenciatura en Ciencia de la Computación </w:t>
            </w:r>
          </w:p>
          <w:p w:rsidR="005A21A5" w:rsidRPr="005A21A5" w:rsidRDefault="005A21A5" w:rsidP="006501BF">
            <w:pPr>
              <w:jc w:val="center"/>
              <w:rPr>
                <w:sz w:val="24"/>
                <w:szCs w:val="24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Plan 20</w:t>
            </w:r>
            <w:r w:rsidR="006501BF">
              <w:rPr>
                <w:sz w:val="18"/>
                <w:szCs w:val="18"/>
                <w:lang w:val="es-AR"/>
              </w:rPr>
              <w:t>12</w:t>
            </w:r>
          </w:p>
        </w:tc>
      </w:tr>
      <w:tr w:rsidR="005A21A5" w:rsidRPr="005A21A5" w:rsidTr="00FA528F">
        <w:tc>
          <w:tcPr>
            <w:tcW w:w="1666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Asignatura aprobada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Asig.Extrac.Internac..UNS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9" w:type="dxa"/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2188" w:type="dxa"/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</w:rPr>
            </w:pPr>
            <w:r w:rsidRPr="005A21A5">
              <w:rPr>
                <w:sz w:val="16"/>
                <w:szCs w:val="16"/>
              </w:rPr>
              <w:t>Asig. Curricular UNS</w:t>
            </w:r>
          </w:p>
        </w:tc>
      </w:tr>
      <w:tr w:rsidR="005A21A5" w:rsidRPr="005A21A5" w:rsidTr="0040339E">
        <w:trPr>
          <w:trHeight w:val="1683"/>
        </w:trPr>
        <w:tc>
          <w:tcPr>
            <w:tcW w:w="1666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 xml:space="preserve">Administración de Proyectos </w:t>
            </w: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224" w:type="dxa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  <w:p w:rsidR="005A21A5" w:rsidRPr="005A21A5" w:rsidRDefault="00FA528F" w:rsidP="005A21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76</w:t>
            </w:r>
            <w:r>
              <w:rPr>
                <w:sz w:val="18"/>
                <w:szCs w:val="18"/>
              </w:rPr>
              <w:t>49</w:t>
            </w: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Extracurricular Internacional I CIC</w:t>
            </w:r>
          </w:p>
        </w:tc>
        <w:tc>
          <w:tcPr>
            <w:tcW w:w="1006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both"/>
              <w:rPr>
                <w:sz w:val="18"/>
                <w:szCs w:val="18"/>
                <w:lang w:val="es-AR"/>
              </w:rPr>
            </w:pPr>
          </w:p>
          <w:p w:rsidR="005A21A5" w:rsidRPr="005A21A5" w:rsidRDefault="00FA528F" w:rsidP="00FA528F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10</w:t>
            </w:r>
          </w:p>
        </w:tc>
        <w:tc>
          <w:tcPr>
            <w:tcW w:w="689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7502</w:t>
            </w:r>
          </w:p>
        </w:tc>
        <w:tc>
          <w:tcPr>
            <w:tcW w:w="2188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Administración de Proyectos de Software</w:t>
            </w: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(previo cumplimiento de lo indicado a fojas 5</w:t>
            </w:r>
            <w:r w:rsidR="00FA528F">
              <w:rPr>
                <w:sz w:val="18"/>
                <w:szCs w:val="18"/>
                <w:lang w:val="es-AR"/>
              </w:rPr>
              <w:t>6</w:t>
            </w:r>
            <w:r w:rsidRPr="005A21A5">
              <w:rPr>
                <w:sz w:val="18"/>
                <w:szCs w:val="18"/>
                <w:lang w:val="es-AR"/>
              </w:rPr>
              <w:t>)</w:t>
            </w: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</w:tc>
      </w:tr>
      <w:tr w:rsidR="00FA528F" w:rsidRPr="005A21A5" w:rsidTr="00FA528F">
        <w:tc>
          <w:tcPr>
            <w:tcW w:w="1666" w:type="dxa"/>
            <w:shd w:val="clear" w:color="auto" w:fill="auto"/>
          </w:tcPr>
          <w:p w:rsidR="00FA528F" w:rsidRPr="005A21A5" w:rsidRDefault="00FA528F" w:rsidP="005A21A5">
            <w:pPr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Procesamiento Digital de Imágenes</w:t>
            </w:r>
          </w:p>
        </w:tc>
        <w:tc>
          <w:tcPr>
            <w:tcW w:w="1224" w:type="dxa"/>
            <w:shd w:val="clear" w:color="auto" w:fill="auto"/>
          </w:tcPr>
          <w:p w:rsidR="00FA528F" w:rsidRPr="005A21A5" w:rsidRDefault="00FA528F" w:rsidP="005A21A5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100</w:t>
            </w:r>
          </w:p>
        </w:tc>
        <w:tc>
          <w:tcPr>
            <w:tcW w:w="970" w:type="dxa"/>
            <w:shd w:val="clear" w:color="auto" w:fill="auto"/>
          </w:tcPr>
          <w:p w:rsidR="00FA528F" w:rsidRPr="005A21A5" w:rsidRDefault="00FA528F" w:rsidP="00FA52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7650</w:t>
            </w:r>
          </w:p>
        </w:tc>
        <w:tc>
          <w:tcPr>
            <w:tcW w:w="1942" w:type="dxa"/>
            <w:shd w:val="clear" w:color="auto" w:fill="auto"/>
          </w:tcPr>
          <w:p w:rsidR="00FA528F" w:rsidRPr="005A21A5" w:rsidRDefault="00FA528F" w:rsidP="00FA528F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Extracurricular Internacional II CIC</w:t>
            </w:r>
          </w:p>
        </w:tc>
        <w:tc>
          <w:tcPr>
            <w:tcW w:w="1006" w:type="dxa"/>
            <w:shd w:val="clear" w:color="auto" w:fill="auto"/>
          </w:tcPr>
          <w:p w:rsidR="00FA528F" w:rsidRPr="005A21A5" w:rsidRDefault="00FA528F" w:rsidP="005A21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89" w:type="dxa"/>
            <w:shd w:val="clear" w:color="auto" w:fill="auto"/>
          </w:tcPr>
          <w:p w:rsidR="00FA528F" w:rsidRPr="005A21A5" w:rsidRDefault="00FA528F" w:rsidP="005A21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8013</w:t>
            </w:r>
          </w:p>
        </w:tc>
        <w:tc>
          <w:tcPr>
            <w:tcW w:w="2188" w:type="dxa"/>
            <w:shd w:val="clear" w:color="auto" w:fill="auto"/>
          </w:tcPr>
          <w:p w:rsidR="00FA528F" w:rsidRPr="005A21A5" w:rsidRDefault="00FA528F" w:rsidP="00FA528F">
            <w:pPr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Optativa CO (electiva)</w:t>
            </w:r>
          </w:p>
        </w:tc>
      </w:tr>
      <w:tr w:rsidR="005A21A5" w:rsidRPr="005A21A5" w:rsidTr="00FA528F">
        <w:tc>
          <w:tcPr>
            <w:tcW w:w="1666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25679E" w:rsidP="0025679E">
            <w:pPr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Seguridad en Computo</w:t>
            </w:r>
          </w:p>
        </w:tc>
        <w:tc>
          <w:tcPr>
            <w:tcW w:w="1224" w:type="dxa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25679E">
            <w:pPr>
              <w:jc w:val="center"/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  <w:lang w:val="es-AR"/>
              </w:rPr>
              <w:t>8</w:t>
            </w:r>
            <w:r w:rsidR="0025679E"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970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765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42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Extracurricular Internacional III CIC</w:t>
            </w:r>
          </w:p>
        </w:tc>
        <w:tc>
          <w:tcPr>
            <w:tcW w:w="1006" w:type="dxa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  <w:p w:rsidR="005A21A5" w:rsidRPr="005A21A5" w:rsidRDefault="0025679E" w:rsidP="00256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89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</w:tc>
      </w:tr>
    </w:tbl>
    <w:p w:rsidR="005C26E7" w:rsidRPr="000A06BD" w:rsidRDefault="005A21A5" w:rsidP="000A06B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0E5692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0A06BD">
        <w:rPr>
          <w:rFonts w:ascii="Arial" w:hAnsi="Arial" w:cs="Arial"/>
          <w:sz w:val="24"/>
          <w:lang w:val="es-ES"/>
        </w:rPr>
        <w:t>istrar; comunicar</w:t>
      </w:r>
      <w:r w:rsidR="00335CB3">
        <w:rPr>
          <w:rFonts w:ascii="Arial" w:hAnsi="Arial" w:cs="Arial"/>
          <w:sz w:val="24"/>
          <w:lang w:val="es-ES"/>
        </w:rPr>
        <w:t xml:space="preserve">; </w:t>
      </w:r>
      <w:r w:rsidR="00432F57">
        <w:rPr>
          <w:rFonts w:ascii="Arial" w:hAnsi="Arial" w:cs="Arial"/>
          <w:sz w:val="24"/>
          <w:lang w:val="es-ES"/>
        </w:rPr>
        <w:t>pase a la Direcció</w:t>
      </w:r>
      <w:r w:rsidR="000A06BD">
        <w:rPr>
          <w:rFonts w:ascii="Arial" w:hAnsi="Arial" w:cs="Arial"/>
          <w:sz w:val="24"/>
          <w:lang w:val="es-ES"/>
        </w:rPr>
        <w:t xml:space="preserve">n </w:t>
      </w:r>
      <w:r w:rsidR="0025679E">
        <w:rPr>
          <w:rFonts w:ascii="Arial" w:hAnsi="Arial" w:cs="Arial"/>
          <w:sz w:val="24"/>
          <w:lang w:val="es-ES"/>
        </w:rPr>
        <w:t>de Gestión Administrativa Curricular</w:t>
      </w:r>
      <w:r w:rsidR="000A06BD">
        <w:rPr>
          <w:rFonts w:ascii="Arial" w:hAnsi="Arial" w:cs="Arial"/>
          <w:sz w:val="24"/>
          <w:lang w:val="es-ES"/>
        </w:rPr>
        <w:t>; cumplido, archivar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="000A06BD">
        <w:rPr>
          <w:rFonts w:ascii="Arial" w:hAnsi="Arial" w:cs="Arial"/>
          <w:sz w:val="24"/>
          <w:lang w:val="es-ES"/>
        </w:rPr>
        <w:t>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A06BD"/>
    <w:rsid w:val="000E5692"/>
    <w:rsid w:val="00110B39"/>
    <w:rsid w:val="001306EA"/>
    <w:rsid w:val="00141D20"/>
    <w:rsid w:val="001719D7"/>
    <w:rsid w:val="00186A12"/>
    <w:rsid w:val="00191C29"/>
    <w:rsid w:val="001A0349"/>
    <w:rsid w:val="001A10DD"/>
    <w:rsid w:val="001C5BC0"/>
    <w:rsid w:val="001E1C38"/>
    <w:rsid w:val="00203A45"/>
    <w:rsid w:val="002118F2"/>
    <w:rsid w:val="00247E88"/>
    <w:rsid w:val="00255E4E"/>
    <w:rsid w:val="0025679E"/>
    <w:rsid w:val="0027565F"/>
    <w:rsid w:val="00292D6D"/>
    <w:rsid w:val="002979AC"/>
    <w:rsid w:val="002A5E63"/>
    <w:rsid w:val="002C05AF"/>
    <w:rsid w:val="0031210E"/>
    <w:rsid w:val="00335CB3"/>
    <w:rsid w:val="003966E0"/>
    <w:rsid w:val="0040339E"/>
    <w:rsid w:val="00432F57"/>
    <w:rsid w:val="004B70AA"/>
    <w:rsid w:val="004C06AD"/>
    <w:rsid w:val="004C0A59"/>
    <w:rsid w:val="004C2A70"/>
    <w:rsid w:val="004E6F7E"/>
    <w:rsid w:val="00503E4B"/>
    <w:rsid w:val="00531C21"/>
    <w:rsid w:val="0055239E"/>
    <w:rsid w:val="00560114"/>
    <w:rsid w:val="005711D1"/>
    <w:rsid w:val="00573019"/>
    <w:rsid w:val="005A21A5"/>
    <w:rsid w:val="005C26E7"/>
    <w:rsid w:val="005E2E35"/>
    <w:rsid w:val="0061797B"/>
    <w:rsid w:val="00644679"/>
    <w:rsid w:val="006501BF"/>
    <w:rsid w:val="00650F23"/>
    <w:rsid w:val="00662471"/>
    <w:rsid w:val="00664FBA"/>
    <w:rsid w:val="006C05A2"/>
    <w:rsid w:val="006C30A3"/>
    <w:rsid w:val="006C5181"/>
    <w:rsid w:val="006D6E65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8A3711"/>
    <w:rsid w:val="00905B02"/>
    <w:rsid w:val="009065BF"/>
    <w:rsid w:val="0091542B"/>
    <w:rsid w:val="00932B0F"/>
    <w:rsid w:val="00947BC0"/>
    <w:rsid w:val="00950BB7"/>
    <w:rsid w:val="00952960"/>
    <w:rsid w:val="00960D7C"/>
    <w:rsid w:val="009C44D0"/>
    <w:rsid w:val="009C47D8"/>
    <w:rsid w:val="00A63DA5"/>
    <w:rsid w:val="00A80E63"/>
    <w:rsid w:val="00AA1D58"/>
    <w:rsid w:val="00AB7B44"/>
    <w:rsid w:val="00AC4C3A"/>
    <w:rsid w:val="00AC7EAA"/>
    <w:rsid w:val="00B25784"/>
    <w:rsid w:val="00B4109C"/>
    <w:rsid w:val="00B63EED"/>
    <w:rsid w:val="00B96D89"/>
    <w:rsid w:val="00BE45BA"/>
    <w:rsid w:val="00C008FE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DF0"/>
    <w:rsid w:val="00D433C2"/>
    <w:rsid w:val="00D475EE"/>
    <w:rsid w:val="00D812EA"/>
    <w:rsid w:val="00D93D96"/>
    <w:rsid w:val="00DC7141"/>
    <w:rsid w:val="00DE35B3"/>
    <w:rsid w:val="00DF0D30"/>
    <w:rsid w:val="00DF75D1"/>
    <w:rsid w:val="00E30471"/>
    <w:rsid w:val="00E523B8"/>
    <w:rsid w:val="00E63CE6"/>
    <w:rsid w:val="00E8295C"/>
    <w:rsid w:val="00EC05F3"/>
    <w:rsid w:val="00EC1C2D"/>
    <w:rsid w:val="00ED5F80"/>
    <w:rsid w:val="00EE1ECE"/>
    <w:rsid w:val="00F07BA6"/>
    <w:rsid w:val="00F35DF2"/>
    <w:rsid w:val="00FA528F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6C0AC-CF06-4C48-8140-810EB15B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2016-09-16T13:10:00Z</cp:lastPrinted>
  <dcterms:created xsi:type="dcterms:W3CDTF">2025-07-06T18:55:00Z</dcterms:created>
  <dcterms:modified xsi:type="dcterms:W3CDTF">2025-07-06T18:55:00Z</dcterms:modified>
</cp:coreProperties>
</file>