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28220C">
      <w:pPr>
        <w:ind w:firstLine="3402"/>
        <w:jc w:val="right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756F71">
        <w:rPr>
          <w:rStyle w:val="textoNegrita"/>
          <w:rFonts w:ascii="Times New Roman" w:hAnsi="Times New Roman" w:cs="Times New Roman"/>
        </w:rPr>
        <w:t>208</w:t>
      </w:r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C7355D">
        <w:rPr>
          <w:rStyle w:val="textoNegrita"/>
          <w:rFonts w:ascii="Times New Roman" w:hAnsi="Times New Roman" w:cs="Times New Roman"/>
        </w:rPr>
        <w:t>8</w:t>
      </w:r>
    </w:p>
    <w:p w:rsidR="00C55E22" w:rsidRPr="003D6FAB" w:rsidRDefault="00C55E22" w:rsidP="0028220C">
      <w:pPr>
        <w:ind w:firstLine="3402"/>
        <w:jc w:val="right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3D6FAB">
        <w:rPr>
          <w:rStyle w:val="textoNegrita"/>
          <w:rFonts w:ascii="Times New Roman" w:hAnsi="Times New Roman" w:cs="Times New Roman"/>
        </w:rPr>
        <w:t>Expe</w:t>
      </w:r>
      <w:proofErr w:type="spellEnd"/>
      <w:r w:rsidRPr="003D6FAB">
        <w:rPr>
          <w:rStyle w:val="textoNegrita"/>
          <w:rFonts w:ascii="Times New Roman" w:hAnsi="Times New Roman" w:cs="Times New Roman"/>
        </w:rPr>
        <w:t xml:space="preserve">. N° </w:t>
      </w:r>
      <w:r w:rsidR="00EC279C">
        <w:rPr>
          <w:rStyle w:val="textoNegrita"/>
          <w:rFonts w:ascii="Times New Roman" w:hAnsi="Times New Roman" w:cs="Times New Roman"/>
        </w:rPr>
        <w:t>1</w:t>
      </w:r>
      <w:r w:rsidR="00756F71">
        <w:rPr>
          <w:rStyle w:val="textoNegrita"/>
          <w:rFonts w:ascii="Times New Roman" w:hAnsi="Times New Roman" w:cs="Times New Roman"/>
        </w:rPr>
        <w:t>647</w:t>
      </w:r>
      <w:r w:rsidRPr="003D6FAB">
        <w:rPr>
          <w:rStyle w:val="textoNegrita"/>
          <w:rFonts w:ascii="Times New Roman" w:hAnsi="Times New Roman" w:cs="Times New Roman"/>
        </w:rPr>
        <w:t>/201</w:t>
      </w:r>
      <w:r w:rsidR="00EC279C">
        <w:rPr>
          <w:rStyle w:val="textoNegrita"/>
          <w:rFonts w:ascii="Times New Roman" w:hAnsi="Times New Roman" w:cs="Times New Roman"/>
        </w:rPr>
        <w:t>7</w:t>
      </w:r>
    </w:p>
    <w:p w:rsidR="0028220C" w:rsidRDefault="00EA1902" w:rsidP="0028220C">
      <w:pPr>
        <w:ind w:firstLine="3402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28220C" w:rsidRDefault="0028220C" w:rsidP="0028220C">
      <w:pPr>
        <w:ind w:firstLine="3402"/>
        <w:jc w:val="center"/>
        <w:rPr>
          <w:rStyle w:val="textoNegrita"/>
          <w:rFonts w:ascii="Times New Roman" w:hAnsi="Times New Roman" w:cs="Times New Roman"/>
        </w:rPr>
      </w:pPr>
    </w:p>
    <w:p w:rsidR="0028220C" w:rsidRPr="003D6FAB" w:rsidRDefault="0028220C" w:rsidP="0028220C">
      <w:pPr>
        <w:ind w:firstLine="3402"/>
        <w:jc w:val="right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Pr="00EC279C" w:rsidRDefault="00EB3651" w:rsidP="00EC279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Exp</w:t>
      </w:r>
      <w:proofErr w:type="spellEnd"/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756F71">
        <w:rPr>
          <w:rFonts w:ascii="Times New Roman" w:hAnsi="Times New Roman" w:cs="Times New Roman"/>
          <w:sz w:val="24"/>
          <w:szCs w:val="24"/>
          <w:lang w:val="es-ES"/>
        </w:rPr>
        <w:t xml:space="preserve"> Nº 1647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/201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>7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mediante el cual se tramita la equivalencia de las asignaturas aprobadas por el alumno de Grado </w:t>
      </w:r>
      <w:proofErr w:type="spellStart"/>
      <w:r w:rsidR="00756F71">
        <w:rPr>
          <w:rFonts w:ascii="Times New Roman" w:hAnsi="Times New Roman" w:cs="Times New Roman"/>
          <w:sz w:val="24"/>
          <w:szCs w:val="24"/>
          <w:lang w:val="es-ES"/>
        </w:rPr>
        <w:t>Nehuen</w:t>
      </w:r>
      <w:proofErr w:type="spellEnd"/>
      <w:r w:rsidR="00756F71">
        <w:rPr>
          <w:rFonts w:ascii="Times New Roman" w:hAnsi="Times New Roman" w:cs="Times New Roman"/>
          <w:sz w:val="24"/>
          <w:szCs w:val="24"/>
          <w:lang w:val="es-ES"/>
        </w:rPr>
        <w:t xml:space="preserve"> Luis </w:t>
      </w:r>
      <w:proofErr w:type="spellStart"/>
      <w:r w:rsidR="00756F71">
        <w:rPr>
          <w:rFonts w:ascii="Times New Roman" w:hAnsi="Times New Roman" w:cs="Times New Roman"/>
          <w:sz w:val="24"/>
          <w:szCs w:val="24"/>
          <w:lang w:val="es-ES"/>
        </w:rPr>
        <w:t>Antiman</w:t>
      </w:r>
      <w:proofErr w:type="spellEnd"/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(LU. </w:t>
      </w:r>
      <w:r w:rsidR="00756F71">
        <w:rPr>
          <w:rFonts w:ascii="Times New Roman" w:hAnsi="Times New Roman" w:cs="Times New Roman"/>
          <w:sz w:val="24"/>
          <w:szCs w:val="24"/>
          <w:lang w:val="es-ES"/>
        </w:rPr>
        <w:t>102440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en el marco del 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 xml:space="preserve">Convenio de </w:t>
      </w:r>
      <w:r w:rsidR="00C7355D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 xml:space="preserve">ntercambio de estudiantes con la Universidad </w:t>
      </w:r>
      <w:r w:rsidR="00756F71">
        <w:rPr>
          <w:rFonts w:ascii="Times New Roman" w:hAnsi="Times New Roman" w:cs="Times New Roman"/>
          <w:sz w:val="24"/>
          <w:szCs w:val="24"/>
          <w:lang w:val="es-ES"/>
        </w:rPr>
        <w:t xml:space="preserve">Telecom </w:t>
      </w:r>
      <w:proofErr w:type="spellStart"/>
      <w:r w:rsidR="00756F71">
        <w:rPr>
          <w:rFonts w:ascii="Times New Roman" w:hAnsi="Times New Roman" w:cs="Times New Roman"/>
          <w:sz w:val="24"/>
          <w:szCs w:val="24"/>
          <w:lang w:val="es-ES"/>
        </w:rPr>
        <w:t>SudParís</w:t>
      </w:r>
      <w:proofErr w:type="spellEnd"/>
      <w:r w:rsidR="00310C1B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56F71">
        <w:rPr>
          <w:rFonts w:ascii="Times New Roman" w:hAnsi="Times New Roman" w:cs="Times New Roman"/>
          <w:sz w:val="24"/>
          <w:szCs w:val="24"/>
          <w:lang w:val="es-ES"/>
        </w:rPr>
        <w:t>Francia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EC279C" w:rsidRDefault="00EC279C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EC279C" w:rsidRDefault="00EA1902" w:rsidP="00EC279C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</w:rPr>
        <w:t>Q</w:t>
      </w:r>
      <w:r w:rsidR="00EC279C" w:rsidRPr="00EC279C">
        <w:rPr>
          <w:rFonts w:ascii="Times New Roman" w:hAnsi="Times New Roman" w:cs="Times New Roman"/>
          <w:sz w:val="24"/>
          <w:szCs w:val="24"/>
        </w:rPr>
        <w:t xml:space="preserve">ue la Resolución CSU-370/13 reglamenta el reconocimiento de equivalencias de asignaturas curriculares, optativas y prácticas de grado realizadas por alumnos de la UNS en otras instituciones de educación superior en el exterior con convenio vigente o por programa de movilidad; </w:t>
      </w:r>
    </w:p>
    <w:p w:rsidR="00EC279C" w:rsidRPr="00EC279C" w:rsidRDefault="00EC279C" w:rsidP="00EC279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Q</w:t>
      </w:r>
      <w:r w:rsidRPr="00EC279C">
        <w:rPr>
          <w:rFonts w:ascii="Times New Roman" w:hAnsi="Times New Roman" w:cs="Times New Roman"/>
          <w:sz w:val="24"/>
          <w:szCs w:val="24"/>
        </w:rPr>
        <w:t>ue mediante Resolución CSU-727/15 se establece la metodología de conversión de calificaciones obtenidas en una Institución de Destino al Sistema de Calificaciones de la UNS</w:t>
      </w:r>
      <w:r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135722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F83E2C">
        <w:rPr>
          <w:rStyle w:val="textoComun"/>
          <w:rFonts w:ascii="Times New Roman" w:hAnsi="Times New Roman" w:cs="Times New Roman"/>
        </w:rPr>
        <w:t>extra</w:t>
      </w:r>
      <w:r w:rsidR="00135722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EC279C">
        <w:rPr>
          <w:rStyle w:val="textoComun"/>
          <w:rFonts w:ascii="Times New Roman" w:hAnsi="Times New Roman" w:cs="Times New Roman"/>
        </w:rPr>
        <w:t>1</w:t>
      </w:r>
      <w:r w:rsidR="00087F89">
        <w:rPr>
          <w:rStyle w:val="textoComun"/>
          <w:rFonts w:ascii="Times New Roman" w:hAnsi="Times New Roman" w:cs="Times New Roman"/>
        </w:rPr>
        <w:t>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087F89">
        <w:rPr>
          <w:rStyle w:val="textoComun"/>
          <w:rFonts w:ascii="Times New Roman" w:hAnsi="Times New Roman" w:cs="Times New Roman"/>
        </w:rPr>
        <w:t>setiembre</w:t>
      </w:r>
      <w:r w:rsidRPr="003D6FAB">
        <w:rPr>
          <w:rStyle w:val="textoComun"/>
          <w:rFonts w:ascii="Times New Roman" w:hAnsi="Times New Roman" w:cs="Times New Roman"/>
        </w:rPr>
        <w:t xml:space="preserve"> de 2018</w:t>
      </w:r>
      <w:r w:rsidR="00135722">
        <w:rPr>
          <w:rStyle w:val="textoComun"/>
          <w:rFonts w:ascii="Times New Roman" w:hAnsi="Times New Roman" w:cs="Times New Roman"/>
        </w:rPr>
        <w:t xml:space="preserve"> dicha equivalencia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CF7B52" w:rsidRPr="003D6FAB" w:rsidRDefault="00CF7B5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Default="00EA1902" w:rsidP="00154066">
      <w:pPr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C35CE" w:rsidRPr="003D6FAB" w:rsidRDefault="00FC35CE" w:rsidP="00154066">
      <w:pPr>
        <w:jc w:val="center"/>
        <w:rPr>
          <w:rFonts w:ascii="Times New Roman" w:hAnsi="Times New Roman" w:cs="Times New Roman"/>
        </w:rPr>
      </w:pPr>
    </w:p>
    <w:p w:rsidR="009F431F" w:rsidRDefault="00EA1902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Pr="003D6FAB">
        <w:rPr>
          <w:rStyle w:val="textoNegrita"/>
          <w:rFonts w:ascii="Times New Roman" w:hAnsi="Times New Roman" w:cs="Times New Roman"/>
        </w:rPr>
        <w:t>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Otorgar al alumno </w:t>
      </w:r>
      <w:proofErr w:type="spellStart"/>
      <w:r w:rsidR="00087F89">
        <w:rPr>
          <w:rFonts w:ascii="Times New Roman" w:hAnsi="Times New Roman" w:cs="Times New Roman"/>
          <w:sz w:val="24"/>
          <w:szCs w:val="24"/>
          <w:lang w:val="es-ES"/>
        </w:rPr>
        <w:t>Nehuen</w:t>
      </w:r>
      <w:proofErr w:type="spellEnd"/>
      <w:r w:rsidR="00087F89">
        <w:rPr>
          <w:rFonts w:ascii="Times New Roman" w:hAnsi="Times New Roman" w:cs="Times New Roman"/>
          <w:sz w:val="24"/>
          <w:szCs w:val="24"/>
          <w:lang w:val="es-ES"/>
        </w:rPr>
        <w:t xml:space="preserve"> Luis ANTIMAN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(LU. </w:t>
      </w:r>
      <w:r w:rsidR="00087F89">
        <w:rPr>
          <w:rFonts w:ascii="Times New Roman" w:hAnsi="Times New Roman" w:cs="Times New Roman"/>
          <w:sz w:val="24"/>
          <w:szCs w:val="24"/>
          <w:lang w:val="es-ES"/>
        </w:rPr>
        <w:t>102440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) la siguiente equivalencia:</w:t>
      </w:r>
    </w:p>
    <w:p w:rsidR="004C4DDC" w:rsidRDefault="004C4DDC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4C4DDC" w:rsidRDefault="004C4DDC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4C4DDC" w:rsidRDefault="004C4DDC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28220C" w:rsidRDefault="0028220C" w:rsidP="004C4DDC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C4DDC" w:rsidRPr="004C4DDC" w:rsidRDefault="004C4DDC" w:rsidP="004C4DDC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C4DDC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///CDCIC-208/18</w:t>
      </w:r>
    </w:p>
    <w:p w:rsidR="004C4DDC" w:rsidRDefault="004C4DDC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9"/>
        <w:gridCol w:w="708"/>
        <w:gridCol w:w="1418"/>
        <w:gridCol w:w="567"/>
        <w:gridCol w:w="955"/>
        <w:gridCol w:w="1455"/>
        <w:gridCol w:w="1233"/>
      </w:tblGrid>
      <w:tr w:rsidR="001A3CB0" w:rsidRPr="00940757" w:rsidTr="001A3CB0">
        <w:trPr>
          <w:trHeight w:val="413"/>
        </w:trPr>
        <w:tc>
          <w:tcPr>
            <w:tcW w:w="2689" w:type="dxa"/>
            <w:gridSpan w:val="2"/>
            <w:vMerge w:val="restart"/>
            <w:shd w:val="clear" w:color="auto" w:fill="auto"/>
          </w:tcPr>
          <w:p w:rsidR="001A3CB0" w:rsidRPr="004076FD" w:rsidRDefault="001A3CB0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  <w:p w:rsidR="001A3CB0" w:rsidRPr="004076FD" w:rsidRDefault="001A3CB0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 xml:space="preserve">Universidad  Telecom </w:t>
            </w:r>
            <w:proofErr w:type="spellStart"/>
            <w:r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>SudParís</w:t>
            </w:r>
            <w:proofErr w:type="spellEnd"/>
          </w:p>
          <w:p w:rsidR="001A3CB0" w:rsidRPr="004076FD" w:rsidRDefault="001A3CB0" w:rsidP="00F3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>(Francia)</w:t>
            </w:r>
          </w:p>
        </w:tc>
        <w:tc>
          <w:tcPr>
            <w:tcW w:w="6336" w:type="dxa"/>
            <w:gridSpan w:val="6"/>
            <w:shd w:val="clear" w:color="auto" w:fill="auto"/>
          </w:tcPr>
          <w:p w:rsidR="001A3CB0" w:rsidRPr="004076FD" w:rsidRDefault="001A3CB0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  <w:p w:rsidR="001A3CB0" w:rsidRPr="004076FD" w:rsidRDefault="001A3CB0" w:rsidP="001A3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>UNS</w:t>
            </w:r>
          </w:p>
        </w:tc>
      </w:tr>
      <w:tr w:rsidR="001A3CB0" w:rsidRPr="00940757" w:rsidTr="004076FD">
        <w:trPr>
          <w:trHeight w:val="278"/>
        </w:trPr>
        <w:tc>
          <w:tcPr>
            <w:tcW w:w="2689" w:type="dxa"/>
            <w:gridSpan w:val="2"/>
            <w:vMerge/>
            <w:shd w:val="clear" w:color="auto" w:fill="auto"/>
          </w:tcPr>
          <w:p w:rsidR="001A3CB0" w:rsidRPr="004076FD" w:rsidRDefault="001A3CB0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2693" w:type="dxa"/>
            <w:gridSpan w:val="3"/>
            <w:vMerge w:val="restart"/>
            <w:shd w:val="clear" w:color="auto" w:fill="auto"/>
          </w:tcPr>
          <w:p w:rsidR="001A3CB0" w:rsidRPr="004076FD" w:rsidRDefault="001A3CB0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 xml:space="preserve">Carrera: Extracurricular </w:t>
            </w:r>
          </w:p>
        </w:tc>
        <w:tc>
          <w:tcPr>
            <w:tcW w:w="3643" w:type="dxa"/>
            <w:gridSpan w:val="3"/>
            <w:shd w:val="clear" w:color="auto" w:fill="auto"/>
          </w:tcPr>
          <w:p w:rsidR="001A3CB0" w:rsidRPr="004076FD" w:rsidRDefault="001A3CB0" w:rsidP="00407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>Carrera:</w:t>
            </w:r>
            <w:r w:rsidR="00FC35CE"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 xml:space="preserve"> Ing. En Sistemas de </w:t>
            </w:r>
            <w:r w:rsid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>C</w:t>
            </w:r>
            <w:r w:rsidR="00FC35CE"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>omputaci</w:t>
            </w:r>
            <w:r w:rsidR="004076FD"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>ón</w:t>
            </w:r>
          </w:p>
        </w:tc>
      </w:tr>
      <w:tr w:rsidR="001A3CB0" w:rsidRPr="00940757" w:rsidTr="004076FD">
        <w:trPr>
          <w:trHeight w:val="277"/>
        </w:trPr>
        <w:tc>
          <w:tcPr>
            <w:tcW w:w="2689" w:type="dxa"/>
            <w:gridSpan w:val="2"/>
            <w:vMerge/>
            <w:shd w:val="clear" w:color="auto" w:fill="auto"/>
          </w:tcPr>
          <w:p w:rsidR="001A3CB0" w:rsidRPr="004076FD" w:rsidRDefault="001A3CB0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2693" w:type="dxa"/>
            <w:gridSpan w:val="3"/>
            <w:vMerge/>
            <w:shd w:val="clear" w:color="auto" w:fill="auto"/>
          </w:tcPr>
          <w:p w:rsidR="001A3CB0" w:rsidRPr="004076FD" w:rsidRDefault="001A3CB0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3643" w:type="dxa"/>
            <w:gridSpan w:val="3"/>
            <w:shd w:val="clear" w:color="auto" w:fill="auto"/>
          </w:tcPr>
          <w:p w:rsidR="001A3CB0" w:rsidRPr="004076FD" w:rsidRDefault="001A3CB0" w:rsidP="001A3C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>Plan:</w:t>
            </w:r>
            <w:r w:rsidR="004076FD" w:rsidRPr="004076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  <w:t xml:space="preserve">  2007</w:t>
            </w:r>
          </w:p>
        </w:tc>
      </w:tr>
      <w:tr w:rsidR="001A3CB0" w:rsidRPr="00940757" w:rsidTr="004076FD">
        <w:trPr>
          <w:trHeight w:val="278"/>
        </w:trPr>
        <w:tc>
          <w:tcPr>
            <w:tcW w:w="1980" w:type="dxa"/>
            <w:shd w:val="clear" w:color="auto" w:fill="auto"/>
          </w:tcPr>
          <w:p w:rsidR="005F2141" w:rsidRPr="004076FD" w:rsidRDefault="005F2141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</w:p>
          <w:p w:rsidR="001A3CB0" w:rsidRPr="004076FD" w:rsidRDefault="001A3CB0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Asignaturas aprobadas</w:t>
            </w:r>
          </w:p>
        </w:tc>
        <w:tc>
          <w:tcPr>
            <w:tcW w:w="709" w:type="dxa"/>
            <w:shd w:val="clear" w:color="auto" w:fill="auto"/>
          </w:tcPr>
          <w:p w:rsidR="005F2141" w:rsidRPr="004076FD" w:rsidRDefault="005F2141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</w:p>
          <w:p w:rsidR="001A3CB0" w:rsidRPr="004076FD" w:rsidRDefault="001A3CB0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  <w:proofErr w:type="spellStart"/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Calif</w:t>
            </w:r>
            <w:proofErr w:type="spellEnd"/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708" w:type="dxa"/>
            <w:shd w:val="clear" w:color="auto" w:fill="auto"/>
          </w:tcPr>
          <w:p w:rsidR="005F2141" w:rsidRPr="004076FD" w:rsidRDefault="005F2141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</w:p>
          <w:p w:rsidR="001A3CB0" w:rsidRPr="004076FD" w:rsidRDefault="001A3CB0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Cód.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1A3CB0" w:rsidRPr="004076FD" w:rsidRDefault="001A3CB0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Asig</w:t>
            </w:r>
            <w:r w:rsidR="0035578B"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natura</w:t>
            </w:r>
          </w:p>
          <w:p w:rsidR="0035578B" w:rsidRPr="004076FD" w:rsidRDefault="0035578B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Extracurricular</w:t>
            </w:r>
          </w:p>
          <w:p w:rsidR="0035578B" w:rsidRPr="004076FD" w:rsidRDefault="0035578B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 xml:space="preserve">Internacional </w:t>
            </w:r>
            <w:r w:rsid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 xml:space="preserve">       </w:t>
            </w:r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UNS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5F2141" w:rsidRPr="004076FD" w:rsidRDefault="005F2141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</w:p>
          <w:p w:rsidR="001A3CB0" w:rsidRPr="004076FD" w:rsidRDefault="001A3CB0" w:rsidP="00407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  <w:proofErr w:type="spellStart"/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Calif</w:t>
            </w:r>
            <w:proofErr w:type="spellEnd"/>
          </w:p>
        </w:tc>
        <w:tc>
          <w:tcPr>
            <w:tcW w:w="955" w:type="dxa"/>
            <w:shd w:val="clear" w:color="auto" w:fill="auto"/>
          </w:tcPr>
          <w:p w:rsidR="005F2141" w:rsidRPr="004076FD" w:rsidRDefault="005F2141" w:rsidP="001A3C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</w:p>
          <w:p w:rsidR="001A3CB0" w:rsidRPr="004076FD" w:rsidRDefault="001A3CB0" w:rsidP="001A3C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Cód.</w:t>
            </w:r>
          </w:p>
        </w:tc>
        <w:tc>
          <w:tcPr>
            <w:tcW w:w="1455" w:type="dxa"/>
            <w:shd w:val="clear" w:color="auto" w:fill="auto"/>
          </w:tcPr>
          <w:p w:rsidR="004076FD" w:rsidRDefault="004076FD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</w:p>
          <w:p w:rsidR="001A3CB0" w:rsidRPr="004076FD" w:rsidRDefault="001A3CB0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</w:pPr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US"/>
              </w:rPr>
              <w:t>Asignatura Curricular UNS</w:t>
            </w:r>
          </w:p>
        </w:tc>
        <w:tc>
          <w:tcPr>
            <w:tcW w:w="1233" w:type="dxa"/>
            <w:shd w:val="clear" w:color="auto" w:fill="auto"/>
          </w:tcPr>
          <w:p w:rsidR="005F2141" w:rsidRPr="004076FD" w:rsidRDefault="005F2141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  <w:p w:rsidR="001A3CB0" w:rsidRPr="004076FD" w:rsidRDefault="001A3CB0" w:rsidP="005F2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  <w:proofErr w:type="spellStart"/>
            <w:r w:rsidRPr="004076FD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  <w:t>Resultado</w:t>
            </w:r>
            <w:proofErr w:type="spellEnd"/>
          </w:p>
        </w:tc>
      </w:tr>
      <w:tr w:rsidR="0035578B" w:rsidRPr="00940757" w:rsidTr="004076FD">
        <w:trPr>
          <w:trHeight w:val="3000"/>
        </w:trPr>
        <w:tc>
          <w:tcPr>
            <w:tcW w:w="1980" w:type="dxa"/>
            <w:shd w:val="clear" w:color="auto" w:fill="auto"/>
          </w:tcPr>
          <w:p w:rsidR="0035578B" w:rsidRDefault="0035578B" w:rsidP="00E764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proofErr w:type="spellStart"/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lntroduction</w:t>
            </w:r>
            <w:proofErr w:type="spellEnd"/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to Machine Learning (CSC 7422) </w:t>
            </w:r>
          </w:p>
          <w:p w:rsidR="0035578B" w:rsidRPr="00E764CC" w:rsidRDefault="0035578B" w:rsidP="00E764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Software and Data Engineering (CSC 7426)</w:t>
            </w:r>
          </w:p>
          <w:p w:rsidR="0035578B" w:rsidRDefault="0035578B" w:rsidP="00E764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Princip</w:t>
            </w:r>
            <w:r w:rsidR="009C28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l</w:t>
            </w: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es of Data Management (CSC 7427) </w:t>
            </w:r>
          </w:p>
          <w:p w:rsidR="0035578B" w:rsidRDefault="0035578B" w:rsidP="00E764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Low</w:t>
            </w:r>
            <w:r w:rsidR="009C28E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-</w:t>
            </w: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Level Data Management (CSC 7428)</w:t>
            </w:r>
          </w:p>
          <w:p w:rsidR="0035578B" w:rsidRDefault="0035578B" w:rsidP="00E764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Advanced Data Networks (NET 7422)</w:t>
            </w:r>
          </w:p>
          <w:p w:rsidR="0035578B" w:rsidRDefault="0035578B" w:rsidP="00E764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Performance Evaluation and Metrics (NET 7423) </w:t>
            </w:r>
          </w:p>
          <w:p w:rsidR="0035578B" w:rsidRDefault="0035578B" w:rsidP="00E764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Engineering for Quality of Service (NET 7424) </w:t>
            </w:r>
          </w:p>
          <w:p w:rsidR="0035578B" w:rsidRDefault="0035578B" w:rsidP="00E764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Effective Communications </w:t>
            </w:r>
            <w:r w:rsidR="0088667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(</w:t>
            </w:r>
            <w:r w:rsidRPr="00E764C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HUM 7421)</w:t>
            </w:r>
          </w:p>
          <w:p w:rsidR="0035578B" w:rsidRPr="00940757" w:rsidRDefault="0035578B" w:rsidP="00E764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F</w:t>
            </w:r>
            <w:r w:rsidRPr="00F31C1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rench Language and Culture (FRE 7421)</w:t>
            </w:r>
          </w:p>
        </w:tc>
        <w:tc>
          <w:tcPr>
            <w:tcW w:w="709" w:type="dxa"/>
            <w:shd w:val="clear" w:color="auto" w:fill="auto"/>
          </w:tcPr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15</w:t>
            </w: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Pr="00940757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14</w:t>
            </w: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15,50</w:t>
            </w: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18</w:t>
            </w: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17</w:t>
            </w: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10</w:t>
            </w: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17</w:t>
            </w: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16,50</w:t>
            </w: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Pr="00940757" w:rsidRDefault="0035578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16.50</w:t>
            </w:r>
          </w:p>
        </w:tc>
        <w:tc>
          <w:tcPr>
            <w:tcW w:w="708" w:type="dxa"/>
            <w:shd w:val="clear" w:color="auto" w:fill="auto"/>
          </w:tcPr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49</w:t>
            </w: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7650</w:t>
            </w: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7651</w:t>
            </w: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7652</w:t>
            </w: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7653</w:t>
            </w: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7654</w:t>
            </w: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7656</w:t>
            </w: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7657</w:t>
            </w: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7665</w:t>
            </w:r>
          </w:p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35578B" w:rsidRPr="00940757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35578B" w:rsidRDefault="0035578B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 CIC</w:t>
            </w:r>
          </w:p>
          <w:p w:rsidR="0035578B" w:rsidRDefault="0035578B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</w:t>
            </w: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  <w:p w:rsidR="0035578B" w:rsidRDefault="0035578B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II</w:t>
            </w: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  <w:p w:rsidR="0035578B" w:rsidRDefault="0035578B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</w:t>
            </w: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  <w:p w:rsidR="0035578B" w:rsidRDefault="0035578B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Extracurricular Internacional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</w:t>
            </w: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  <w:p w:rsidR="0035578B" w:rsidRDefault="0035578B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Extracurricular Internacional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</w:t>
            </w: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 CIC</w:t>
            </w:r>
          </w:p>
          <w:p w:rsidR="0035578B" w:rsidRDefault="0035578B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35578B" w:rsidRDefault="0035578B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Extracurricular Internacional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VI</w:t>
            </w: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 CIC</w:t>
            </w:r>
          </w:p>
          <w:p w:rsidR="0035578B" w:rsidRDefault="0035578B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VIII</w:t>
            </w: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  <w:p w:rsidR="0035578B" w:rsidRPr="00940757" w:rsidRDefault="0035578B" w:rsidP="0035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X</w:t>
            </w:r>
            <w:r w:rsidRPr="0035578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</w:tc>
        <w:tc>
          <w:tcPr>
            <w:tcW w:w="567" w:type="dxa"/>
            <w:shd w:val="clear" w:color="auto" w:fill="auto"/>
          </w:tcPr>
          <w:p w:rsidR="0035578B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8</w:t>
            </w: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</w:t>
            </w: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8</w:t>
            </w: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9</w:t>
            </w: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9</w:t>
            </w: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5</w:t>
            </w: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9</w:t>
            </w: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8</w:t>
            </w: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Pr="00940757" w:rsidRDefault="005F2141" w:rsidP="00407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955" w:type="dxa"/>
            <w:shd w:val="clear" w:color="auto" w:fill="auto"/>
          </w:tcPr>
          <w:p w:rsidR="0035578B" w:rsidRPr="00940757" w:rsidRDefault="0035578B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35578B" w:rsidRPr="00940757" w:rsidRDefault="0035578B" w:rsidP="009407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</w:t>
            </w: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35578B" w:rsidRDefault="005F2141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7860</w:t>
            </w: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7861</w:t>
            </w: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Default="005F2141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7862</w:t>
            </w:r>
          </w:p>
          <w:p w:rsidR="004C4DDC" w:rsidRDefault="004C4DDC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Pr="00940757" w:rsidRDefault="005F2141" w:rsidP="004C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7863</w:t>
            </w:r>
          </w:p>
        </w:tc>
        <w:tc>
          <w:tcPr>
            <w:tcW w:w="1455" w:type="dxa"/>
            <w:shd w:val="clear" w:color="auto" w:fill="auto"/>
          </w:tcPr>
          <w:p w:rsidR="0035578B" w:rsidRPr="00940757" w:rsidRDefault="0035578B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35578B" w:rsidRPr="00940757" w:rsidRDefault="0035578B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F2141" w:rsidRPr="005F2141" w:rsidRDefault="005F2141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5F2141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Optativa ISC I</w:t>
            </w:r>
          </w:p>
          <w:p w:rsidR="005F2141" w:rsidRPr="005F2141" w:rsidRDefault="005F2141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35578B" w:rsidRDefault="005F2141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5F2141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Optativa ISC II</w:t>
            </w:r>
          </w:p>
          <w:p w:rsidR="004C4DDC" w:rsidRDefault="004C4DDC" w:rsidP="005F214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Pr="004C4DDC" w:rsidRDefault="004C4DDC" w:rsidP="004C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4C4DDC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Optativa ISC 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II</w:t>
            </w:r>
          </w:p>
          <w:p w:rsidR="004C4DDC" w:rsidRPr="004C4DDC" w:rsidRDefault="004C4DDC" w:rsidP="004C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Pr="00940757" w:rsidRDefault="004C4DDC" w:rsidP="004C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4C4DDC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Optativa ISC 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</w:t>
            </w:r>
          </w:p>
        </w:tc>
        <w:tc>
          <w:tcPr>
            <w:tcW w:w="1233" w:type="dxa"/>
            <w:shd w:val="clear" w:color="auto" w:fill="auto"/>
          </w:tcPr>
          <w:p w:rsidR="0035578B" w:rsidRDefault="0035578B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Pr="00940757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Otorgar</w:t>
            </w:r>
          </w:p>
          <w:p w:rsidR="0035578B" w:rsidRDefault="0035578B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Otorgar</w:t>
            </w: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Otorgar</w:t>
            </w: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Otorgar</w:t>
            </w: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bookmarkStart w:id="0" w:name="_GoBack"/>
            <w:bookmarkEnd w:id="0"/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C4DDC" w:rsidRDefault="004C4DD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35578B" w:rsidRPr="00940757" w:rsidRDefault="0035578B" w:rsidP="0042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:rsidR="00940757" w:rsidRPr="00940757" w:rsidRDefault="00940757" w:rsidP="007F62AD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D3284B" w:rsidRPr="00D3284B" w:rsidRDefault="00D3284B" w:rsidP="00D3284B">
      <w:pPr>
        <w:rPr>
          <w:b/>
          <w:sz w:val="24"/>
          <w:szCs w:val="24"/>
        </w:rPr>
      </w:pP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="009F431F"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C3866"/>
    <w:multiLevelType w:val="hybridMultilevel"/>
    <w:tmpl w:val="D32CCBA4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66F0E"/>
    <w:rsid w:val="00087F89"/>
    <w:rsid w:val="00135722"/>
    <w:rsid w:val="00142B22"/>
    <w:rsid w:val="00154066"/>
    <w:rsid w:val="001A3CB0"/>
    <w:rsid w:val="0028220C"/>
    <w:rsid w:val="002B4CD1"/>
    <w:rsid w:val="002F5AF8"/>
    <w:rsid w:val="00310C1B"/>
    <w:rsid w:val="0035578B"/>
    <w:rsid w:val="003C7040"/>
    <w:rsid w:val="003D6FAB"/>
    <w:rsid w:val="004076FD"/>
    <w:rsid w:val="00421EF8"/>
    <w:rsid w:val="004C4DDC"/>
    <w:rsid w:val="004E7775"/>
    <w:rsid w:val="00525174"/>
    <w:rsid w:val="005919D7"/>
    <w:rsid w:val="005C4B87"/>
    <w:rsid w:val="005F2141"/>
    <w:rsid w:val="00690C9A"/>
    <w:rsid w:val="006A711D"/>
    <w:rsid w:val="007453B7"/>
    <w:rsid w:val="00756F71"/>
    <w:rsid w:val="0078592D"/>
    <w:rsid w:val="007F62AD"/>
    <w:rsid w:val="00885A86"/>
    <w:rsid w:val="0088667D"/>
    <w:rsid w:val="008C1377"/>
    <w:rsid w:val="008F355C"/>
    <w:rsid w:val="00927E9D"/>
    <w:rsid w:val="00940757"/>
    <w:rsid w:val="00963345"/>
    <w:rsid w:val="0097078B"/>
    <w:rsid w:val="009C28EE"/>
    <w:rsid w:val="009F2DC8"/>
    <w:rsid w:val="009F431F"/>
    <w:rsid w:val="00A54C2C"/>
    <w:rsid w:val="00A73A2A"/>
    <w:rsid w:val="00AB65C7"/>
    <w:rsid w:val="00B0256B"/>
    <w:rsid w:val="00B2322E"/>
    <w:rsid w:val="00C55E22"/>
    <w:rsid w:val="00C7355D"/>
    <w:rsid w:val="00CB3DB1"/>
    <w:rsid w:val="00CE092E"/>
    <w:rsid w:val="00CF7A33"/>
    <w:rsid w:val="00CF7B52"/>
    <w:rsid w:val="00D3284B"/>
    <w:rsid w:val="00D76D09"/>
    <w:rsid w:val="00D90093"/>
    <w:rsid w:val="00E403B2"/>
    <w:rsid w:val="00E764CC"/>
    <w:rsid w:val="00EA1902"/>
    <w:rsid w:val="00EB3651"/>
    <w:rsid w:val="00EC279C"/>
    <w:rsid w:val="00F31C14"/>
    <w:rsid w:val="00F83E2C"/>
    <w:rsid w:val="00FC35CE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7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49</cp:revision>
  <cp:lastPrinted>2018-09-19T13:41:00Z</cp:lastPrinted>
  <dcterms:created xsi:type="dcterms:W3CDTF">2018-03-20T16:11:00Z</dcterms:created>
  <dcterms:modified xsi:type="dcterms:W3CDTF">2018-09-19T13:57:00Z</dcterms:modified>
  <cp:category/>
</cp:coreProperties>
</file>