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0C4715">
        <w:rPr>
          <w:b/>
          <w:sz w:val="24"/>
          <w:lang w:val="es-AR"/>
        </w:rPr>
        <w:t>006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0C4715">
        <w:rPr>
          <w:b/>
          <w:sz w:val="24"/>
          <w:lang w:val="es-AR"/>
        </w:rPr>
        <w:t xml:space="preserve"> 2126</w:t>
      </w:r>
      <w:r w:rsidR="00B54D23">
        <w:rPr>
          <w:b/>
          <w:sz w:val="24"/>
          <w:lang w:val="es-AR"/>
        </w:rPr>
        <w:t>/17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0C4715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DCIC-003</w:t>
      </w:r>
      <w:r w:rsidR="00AD6F95">
        <w:rPr>
          <w:sz w:val="24"/>
          <w:lang w:val="es-ES_tradnl"/>
        </w:rPr>
        <w:t>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0C4715">
        <w:rPr>
          <w:sz w:val="24"/>
          <w:lang w:val="es-ES_tradnl"/>
        </w:rPr>
        <w:t xml:space="preserve"> la Srta. Sofía C. Rapetti 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0C4715">
        <w:rPr>
          <w:sz w:val="24"/>
          <w:lang w:val="es-AR"/>
        </w:rPr>
        <w:t>rminos de la resolución DCIC-003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>prorrogó la designación de</w:t>
      </w:r>
      <w:r w:rsidR="000C4715">
        <w:rPr>
          <w:sz w:val="24"/>
          <w:lang w:val="es-ES_tradnl"/>
        </w:rPr>
        <w:t xml:space="preserve"> </w:t>
      </w:r>
      <w:r w:rsidR="00D7151B" w:rsidRPr="00F82E91">
        <w:rPr>
          <w:sz w:val="24"/>
          <w:lang w:val="es-ES_tradnl"/>
        </w:rPr>
        <w:t>l</w:t>
      </w:r>
      <w:r w:rsidR="000C4715">
        <w:rPr>
          <w:sz w:val="24"/>
          <w:lang w:val="es-ES_tradnl"/>
        </w:rPr>
        <w:t>a</w:t>
      </w:r>
      <w:r w:rsidR="00D7151B" w:rsidRPr="00F82E91">
        <w:rPr>
          <w:sz w:val="24"/>
          <w:lang w:val="es-ES_tradnl"/>
        </w:rPr>
        <w:t xml:space="preserve"> </w:t>
      </w:r>
      <w:r w:rsidR="00D7151B" w:rsidRPr="00F82E91">
        <w:rPr>
          <w:b/>
          <w:sz w:val="24"/>
          <w:lang w:val="es-ES_tradnl"/>
        </w:rPr>
        <w:t>Sr</w:t>
      </w:r>
      <w:r w:rsidR="000C4715">
        <w:rPr>
          <w:b/>
          <w:sz w:val="24"/>
          <w:lang w:val="es-ES_tradnl"/>
        </w:rPr>
        <w:t>ta. Sofía Carolina RAPETTI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0C4715">
        <w:rPr>
          <w:b/>
          <w:bCs/>
          <w:sz w:val="24"/>
          <w:lang w:val="es-ES_tradnl"/>
        </w:rPr>
        <w:t>. 14647 *Cargo de Planta 27022108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</w:t>
      </w:r>
      <w:r w:rsidR="00ED4069">
        <w:rPr>
          <w:bCs/>
          <w:sz w:val="24"/>
          <w:lang w:val="es-AR"/>
        </w:rPr>
        <w:t xml:space="preserve">, </w:t>
      </w:r>
      <w:r w:rsidR="00B54D23">
        <w:rPr>
          <w:bCs/>
          <w:sz w:val="24"/>
          <w:lang w:val="es-AR"/>
        </w:rPr>
        <w:t>Asigna</w:t>
      </w:r>
      <w:r w:rsidR="000C4715">
        <w:rPr>
          <w:bCs/>
          <w:sz w:val="24"/>
          <w:lang w:val="es-AR"/>
        </w:rPr>
        <w:t>tura “Estructuras de Datos” (Cód. 7655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C4715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54D23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2853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