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E15166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CDCIC-12</w:t>
      </w:r>
      <w:r w:rsidR="004E424B" w:rsidRPr="00B83CA8">
        <w:rPr>
          <w:rFonts w:ascii="Times New Roman" w:hAnsi="Times New Roman"/>
          <w:b/>
          <w:color w:val="auto"/>
          <w:sz w:val="24"/>
          <w:lang w:val="es-AR" w:eastAsia="es-ES"/>
        </w:rPr>
        <w:t>3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/1</w:t>
      </w:r>
      <w:r w:rsidR="00B75EC5">
        <w:rPr>
          <w:rFonts w:ascii="Times New Roman" w:hAnsi="Times New Roman"/>
          <w:b/>
          <w:color w:val="auto"/>
          <w:sz w:val="24"/>
          <w:lang w:val="es-AR" w:eastAsia="es-ES"/>
        </w:rPr>
        <w:t>9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Default="00E15166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CSU-216/19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Default="005049D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por Resolución CDCIC-099/19 se procedió a designar a dos tutores docentes del Departamento; </w:t>
      </w:r>
    </w:p>
    <w:p w:rsidR="005049D4" w:rsidRDefault="005049D4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5049D4" w:rsidRPr="00B83CA8" w:rsidRDefault="005049D4" w:rsidP="005049D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de acuerdo a lo establecido en el Anexo de la resol. CSU-720/12, al menos el cincuenta por ciento (50%) por defecto de los tutores deberán ser alumnos; </w:t>
      </w:r>
    </w:p>
    <w:p w:rsidR="005049D4" w:rsidRPr="00B83CA8" w:rsidRDefault="005049D4" w:rsidP="005049D4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proceder a la designación de tutores </w:t>
      </w:r>
      <w:r w:rsidR="005049D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alumnos 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 el corriente año;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B8627F" w:rsidRPr="00B83CA8" w:rsidRDefault="00B8627F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E15166">
        <w:rPr>
          <w:rStyle w:val="textoComun"/>
          <w:rFonts w:ascii="Times New Roman" w:hAnsi="Times New Roman"/>
          <w:color w:val="auto"/>
          <w:lang w:val="es-AR"/>
        </w:rPr>
        <w:t>midad, en su reunión de fecha 28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E15166">
        <w:rPr>
          <w:rStyle w:val="textoComun"/>
          <w:rFonts w:ascii="Times New Roman" w:hAnsi="Times New Roman"/>
          <w:color w:val="auto"/>
          <w:lang w:val="es-AR"/>
        </w:rPr>
        <w:t>mayo de 2019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8C4" w:rsidRPr="00D908C4" w:rsidRDefault="00D908C4" w:rsidP="00D908C4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t>/</w:t>
      </w:r>
      <w:r w:rsidR="00E15166">
        <w:rPr>
          <w:rFonts w:ascii="Times New Roman" w:hAnsi="Times New Roman"/>
          <w:b/>
          <w:color w:val="auto"/>
          <w:sz w:val="24"/>
          <w:szCs w:val="24"/>
          <w:lang w:eastAsia="es-ES"/>
        </w:rPr>
        <w:t>//CDCIC-12</w:t>
      </w: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t>3</w:t>
      </w:r>
      <w:r w:rsidR="00E15166">
        <w:rPr>
          <w:rFonts w:ascii="Times New Roman" w:hAnsi="Times New Roman"/>
          <w:b/>
          <w:color w:val="auto"/>
          <w:sz w:val="24"/>
          <w:szCs w:val="24"/>
          <w:lang w:eastAsia="es-ES"/>
        </w:rPr>
        <w:t>/19</w:t>
      </w:r>
    </w:p>
    <w:p w:rsidR="00D908C4" w:rsidRDefault="00D908C4" w:rsidP="004E424B">
      <w:p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Leandro Ezequiel Amigo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 Leg.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106080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Marcos Leguizamon</w:t>
      </w:r>
      <w:r w:rsidR="006F25F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108537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Agustín Emanuel García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</w:t>
      </w:r>
      <w:r w:rsidR="00C024F5">
        <w:rPr>
          <w:rFonts w:ascii="Times New Roman" w:hAnsi="Times New Roman"/>
          <w:color w:val="auto"/>
          <w:sz w:val="24"/>
          <w:szCs w:val="24"/>
          <w:lang w:val="es-AR" w:eastAsia="es-ES"/>
        </w:rPr>
        <w:t>13897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77829" w:rsidRDefault="00D9069B" w:rsidP="0087782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e Pesos Dos Mil </w:t>
      </w:r>
      <w:r w:rsidR="00340481">
        <w:rPr>
          <w:rFonts w:ascii="Times New Roman" w:hAnsi="Times New Roman"/>
          <w:color w:val="auto"/>
          <w:sz w:val="24"/>
          <w:szCs w:val="24"/>
          <w:lang w:val="es-AR"/>
        </w:rPr>
        <w:t xml:space="preserve">Novecientos 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>($ 2.900-), a partir del 01 de junio de 2019 y hasta el 30 de abril de 2020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.-</w:t>
      </w:r>
    </w:p>
    <w:p w:rsidR="00B8627F" w:rsidRPr="00B83CA8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357660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2019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6F25FD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0CE2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024F5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2025-07-06T19:14:00Z</dcterms:created>
  <dcterms:modified xsi:type="dcterms:W3CDTF">2025-07-06T19:14:00Z</dcterms:modified>
</cp:coreProperties>
</file>