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CDCIC-0</w:t>
      </w:r>
      <w:r w:rsidR="002155FE">
        <w:rPr>
          <w:rFonts w:ascii="Times New Roman" w:hAnsi="Times New Roman"/>
          <w:b/>
          <w:color w:val="auto"/>
          <w:sz w:val="24"/>
          <w:lang w:val="es-AR" w:eastAsia="es-ES"/>
        </w:rPr>
        <w:t>10</w:t>
      </w:r>
      <w:r w:rsidR="009A42D8">
        <w:rPr>
          <w:rFonts w:ascii="Times New Roman" w:hAnsi="Times New Roman"/>
          <w:b/>
          <w:color w:val="auto"/>
          <w:sz w:val="24"/>
          <w:lang w:val="es-AR" w:eastAsia="es-ES"/>
        </w:rPr>
        <w:t>/20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2155FE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CDCIC-301/19 mediante la cual se avala el otorgamiento de una </w:t>
      </w:r>
      <w:r w:rsidRPr="002155FE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licencia con goce de haberes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al Dr. Ignacio Ponzoni </w:t>
      </w:r>
      <w:r w:rsidRPr="002155FE">
        <w:rPr>
          <w:rFonts w:ascii="Times New Roman" w:hAnsi="Times New Roman"/>
          <w:color w:val="auto"/>
          <w:sz w:val="24"/>
          <w:szCs w:val="24"/>
          <w:lang w:val="es-AR" w:eastAsia="es-AR"/>
        </w:rPr>
        <w:t>por el período comprendido entre el 31 de marzo y has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ta el 27 de septiembre de 2020 </w:t>
      </w:r>
      <w:r w:rsidRPr="002155FE">
        <w:rPr>
          <w:rFonts w:ascii="Times New Roman" w:hAnsi="Times New Roman"/>
          <w:color w:val="auto"/>
          <w:sz w:val="24"/>
          <w:szCs w:val="24"/>
          <w:lang w:val="es-AR" w:eastAsia="es-AR"/>
        </w:rPr>
        <w:t>para realizar una estadía de investigación en el Instituto de Química Médica (IQM) del Consejo Superior de Investigaciones Científicas (CSIC), Madrid (España);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</w:t>
      </w:r>
    </w:p>
    <w:p w:rsidR="002155FE" w:rsidRPr="00B83CA8" w:rsidRDefault="002155FE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155FE" w:rsidRDefault="002155FE" w:rsidP="002155FE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2155FE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las actividades académicas y de investigación presenciales han sido suspendidas en casi todo el mundo ante la situación mundial en relación a COVID-19;</w:t>
      </w:r>
    </w:p>
    <w:p w:rsidR="002155FE" w:rsidRDefault="002155FE" w:rsidP="002155FE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155FE" w:rsidRDefault="002155FE" w:rsidP="00E95EA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2155FE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Gobierno Nacional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por Decreto de Necesidad y Urgencia ha cerrado temporalmente las fronteras del país; </w:t>
      </w:r>
    </w:p>
    <w:p w:rsidR="002155FE" w:rsidRDefault="002155FE" w:rsidP="00E95EA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155FE" w:rsidRDefault="002155FE" w:rsidP="00E95EA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ante lo expuesto, es necesario dejar sin efecto la licencia otorgada oportunamente por el Consejo Departamental al Dr. Ignacio Ponzoni dado que continuará con sus funciones </w:t>
      </w:r>
      <w:r w:rsidR="004E0731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docentes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en el Departamento de Ciencias e Ingeniería de la Computación; </w:t>
      </w:r>
    </w:p>
    <w:p w:rsidR="002155FE" w:rsidRDefault="002155FE" w:rsidP="00E95EA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9A42D8" w:rsidRDefault="009A42D8" w:rsidP="009A42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color w:val="auto"/>
          <w:sz w:val="24"/>
          <w:lang w:eastAsia="es-ES"/>
        </w:rPr>
      </w:pPr>
      <w:r w:rsidRPr="00BF1C22">
        <w:rPr>
          <w:rFonts w:ascii="Times New Roman" w:hAnsi="Times New Roman"/>
          <w:b/>
          <w:snapToGrid w:val="0"/>
          <w:color w:val="auto"/>
          <w:sz w:val="24"/>
          <w:lang w:eastAsia="es-ES"/>
        </w:rPr>
        <w:t xml:space="preserve">            </w:t>
      </w:r>
    </w:p>
    <w:p w:rsidR="00B205D5" w:rsidRPr="009A42D8" w:rsidRDefault="009A42D8" w:rsidP="009A42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auto"/>
          <w:sz w:val="24"/>
        </w:rPr>
      </w:pPr>
      <w:r w:rsidRPr="00BF1C22">
        <w:rPr>
          <w:rFonts w:ascii="Times New Roman" w:hAnsi="Times New Roman"/>
          <w:b/>
          <w:snapToGrid w:val="0"/>
          <w:color w:val="auto"/>
          <w:sz w:val="24"/>
          <w:lang w:eastAsia="es-ES"/>
        </w:rPr>
        <w:t xml:space="preserve">EL DIRECTOR DECANO DEL DEPARTAMENTO DE CIENCIAS E INGENIERÍA DE LA COMPUTACIÓN </w:t>
      </w:r>
    </w:p>
    <w:p w:rsidR="009A42D8" w:rsidRDefault="009A42D8" w:rsidP="00D9069B">
      <w:pPr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D9069B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D9069B" w:rsidRPr="00B83CA8" w:rsidRDefault="00D9069B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8C4" w:rsidRDefault="00D908C4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4E424B" w:rsidRDefault="00D9069B" w:rsidP="002155FE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1º</w:t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2155FE">
        <w:rPr>
          <w:rFonts w:ascii="Times New Roman" w:hAnsi="Times New Roman"/>
          <w:color w:val="auto"/>
          <w:sz w:val="24"/>
          <w:szCs w:val="24"/>
          <w:lang w:val="es-AR"/>
        </w:rPr>
        <w:t xml:space="preserve">Dejar sin efecto la licencia otorgada por Resolución CDCIC-3021/19 mediante la cual se otorgó una </w:t>
      </w:r>
      <w:r w:rsidR="002155FE" w:rsidRPr="002155FE">
        <w:rPr>
          <w:rFonts w:ascii="Times New Roman" w:hAnsi="Times New Roman"/>
          <w:color w:val="auto"/>
          <w:sz w:val="24"/>
          <w:szCs w:val="24"/>
          <w:lang w:val="es-AR"/>
        </w:rPr>
        <w:t xml:space="preserve">licencia con goce de haberes </w:t>
      </w:r>
      <w:r w:rsidR="002155FE">
        <w:rPr>
          <w:rFonts w:ascii="Times New Roman" w:hAnsi="Times New Roman"/>
          <w:color w:val="auto"/>
          <w:sz w:val="24"/>
          <w:szCs w:val="24"/>
          <w:lang w:val="es-AR"/>
        </w:rPr>
        <w:t xml:space="preserve">al </w:t>
      </w:r>
      <w:r w:rsidR="002155FE" w:rsidRPr="002155FE">
        <w:rPr>
          <w:rFonts w:ascii="Times New Roman" w:hAnsi="Times New Roman"/>
          <w:color w:val="auto"/>
          <w:sz w:val="24"/>
          <w:szCs w:val="24"/>
          <w:lang w:val="es-AR"/>
        </w:rPr>
        <w:t xml:space="preserve"> Dr. Ignacio Ponzoni (Leg. 8447), en un cargo de Profesor Asociado con dedicación exclusiva, en el Área: VI, Disciplina: Aplicaciones, asignatura “Simulación” (Cód. 5946), por el período comprendido entre el 31 de marzo y hasta el 27 de septiembre de 2020, en el marco del ARTICULO 5º) inciso b) del “Reglamento de Licencias para el personal docente y de investigación de la Universidad Nacional del Sur y sus Establecimientos Secundarios”, para realizar una estadía de investigación en el Instituto de Química Médica (IQM) del Consejo Superior de Investigaciones Científicas </w:t>
      </w:r>
      <w:r w:rsidR="004E0731">
        <w:rPr>
          <w:rFonts w:ascii="Times New Roman" w:hAnsi="Times New Roman"/>
          <w:color w:val="auto"/>
          <w:sz w:val="24"/>
          <w:szCs w:val="24"/>
          <w:lang w:val="es-AR"/>
        </w:rPr>
        <w:t>(CSIC), Madrid (España).-</w:t>
      </w:r>
    </w:p>
    <w:p w:rsidR="002155FE" w:rsidRDefault="002155FE" w:rsidP="002155FE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14123D" w:rsidRPr="004E0731" w:rsidRDefault="002155FE" w:rsidP="004E0731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ARTICULO 2</w:t>
      </w:r>
      <w:r w:rsidRPr="002155FE">
        <w:rPr>
          <w:rFonts w:ascii="Times New Roman" w:hAnsi="Times New Roman"/>
          <w:color w:val="auto"/>
          <w:sz w:val="24"/>
          <w:szCs w:val="24"/>
          <w:lang w:val="es-AR" w:eastAsia="es-ES"/>
        </w:rPr>
        <w:t>º: Regístrese; comuníquese; pase a la Dirección General de Personal para su  conocimiento y demás efectos; cumplido, archívese.-------------------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----------------------------</w:t>
      </w:r>
    </w:p>
    <w:sectPr w:rsidR="0014123D" w:rsidRPr="004E0731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2" type="#_x0000_t75" style="width:8.85pt;height:8.85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55FE"/>
    <w:rsid w:val="002170A8"/>
    <w:rsid w:val="00225F15"/>
    <w:rsid w:val="0023677E"/>
    <w:rsid w:val="00243FE3"/>
    <w:rsid w:val="002D1E1D"/>
    <w:rsid w:val="002D239D"/>
    <w:rsid w:val="002D7509"/>
    <w:rsid w:val="002E7710"/>
    <w:rsid w:val="002F2189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C1741"/>
    <w:rsid w:val="003D22A1"/>
    <w:rsid w:val="003E5A86"/>
    <w:rsid w:val="003F1441"/>
    <w:rsid w:val="00402D5F"/>
    <w:rsid w:val="004341D8"/>
    <w:rsid w:val="004360AE"/>
    <w:rsid w:val="0043739E"/>
    <w:rsid w:val="0045645B"/>
    <w:rsid w:val="00457A1A"/>
    <w:rsid w:val="004707B1"/>
    <w:rsid w:val="004E0731"/>
    <w:rsid w:val="004E424B"/>
    <w:rsid w:val="0050306B"/>
    <w:rsid w:val="00534B39"/>
    <w:rsid w:val="00570035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6083C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42D8"/>
    <w:rsid w:val="009A541F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370B1"/>
    <w:rsid w:val="00B518D8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17171"/>
    <w:rsid w:val="00D3152A"/>
    <w:rsid w:val="00D42787"/>
    <w:rsid w:val="00D46E2A"/>
    <w:rsid w:val="00D50E44"/>
    <w:rsid w:val="00D553C3"/>
    <w:rsid w:val="00D8723D"/>
    <w:rsid w:val="00D9069B"/>
    <w:rsid w:val="00D908C4"/>
    <w:rsid w:val="00D91021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95EA1"/>
    <w:rsid w:val="00E97FE4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2025-07-06T19:42:00Z</dcterms:created>
  <dcterms:modified xsi:type="dcterms:W3CDTF">2025-07-06T19:42:00Z</dcterms:modified>
</cp:coreProperties>
</file>