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B0E" w:rsidRPr="00356758" w:rsidRDefault="00A47E93" w:rsidP="00356758">
      <w:pPr>
        <w:pStyle w:val="Ttulo1"/>
        <w:ind w:firstLine="3402"/>
        <w:rPr>
          <w:rFonts w:ascii="Times New Roman" w:hAnsi="Times New Roman"/>
          <w:lang w:val="es-AR"/>
        </w:rPr>
      </w:pPr>
      <w:r w:rsidRPr="00356758">
        <w:rPr>
          <w:rFonts w:ascii="Times New Roman" w:hAnsi="Times New Roman"/>
          <w:lang w:val="es-AR"/>
        </w:rPr>
        <w:t xml:space="preserve">REGISTRADO BAJO Nº  </w:t>
      </w:r>
      <w:r w:rsidR="009C389B" w:rsidRPr="00356758">
        <w:rPr>
          <w:rFonts w:ascii="Times New Roman" w:hAnsi="Times New Roman"/>
          <w:lang w:val="es-AR"/>
        </w:rPr>
        <w:t>C</w:t>
      </w:r>
      <w:r w:rsidR="00792B0C" w:rsidRPr="00356758">
        <w:rPr>
          <w:rFonts w:ascii="Times New Roman" w:hAnsi="Times New Roman"/>
          <w:lang w:val="es-AR"/>
        </w:rPr>
        <w:t>DCIC-</w:t>
      </w:r>
      <w:r w:rsidR="00356758">
        <w:rPr>
          <w:rFonts w:ascii="Times New Roman" w:hAnsi="Times New Roman"/>
          <w:lang w:val="es-AR"/>
        </w:rPr>
        <w:t>073</w:t>
      </w:r>
      <w:r w:rsidR="00BF22AD" w:rsidRPr="00356758">
        <w:rPr>
          <w:rFonts w:ascii="Times New Roman" w:hAnsi="Times New Roman"/>
          <w:lang w:val="es-AR"/>
        </w:rPr>
        <w:t>/</w:t>
      </w:r>
      <w:r w:rsidR="00356758">
        <w:rPr>
          <w:rFonts w:ascii="Times New Roman" w:hAnsi="Times New Roman"/>
          <w:lang w:val="es-AR"/>
        </w:rPr>
        <w:t>22</w:t>
      </w:r>
    </w:p>
    <w:p w:rsidR="00E15A47" w:rsidRPr="00356758" w:rsidRDefault="00E15A47" w:rsidP="00356758">
      <w:pPr>
        <w:widowControl w:val="0"/>
        <w:tabs>
          <w:tab w:val="left" w:pos="1440"/>
          <w:tab w:val="left" w:pos="3600"/>
          <w:tab w:val="left" w:pos="3888"/>
          <w:tab w:val="left" w:pos="5040"/>
        </w:tabs>
        <w:ind w:firstLine="3402"/>
        <w:rPr>
          <w:sz w:val="24"/>
          <w:lang w:val="es-AR"/>
        </w:rPr>
      </w:pPr>
    </w:p>
    <w:p w:rsidR="005F1B0E" w:rsidRPr="00356758" w:rsidRDefault="005F1B0E" w:rsidP="00356758">
      <w:pPr>
        <w:widowControl w:val="0"/>
        <w:tabs>
          <w:tab w:val="left" w:pos="1440"/>
          <w:tab w:val="left" w:pos="3600"/>
          <w:tab w:val="left" w:pos="3888"/>
          <w:tab w:val="left" w:pos="5040"/>
          <w:tab w:val="left" w:pos="5670"/>
        </w:tabs>
        <w:ind w:firstLine="3402"/>
        <w:rPr>
          <w:sz w:val="24"/>
          <w:lang w:val="es-AR"/>
        </w:rPr>
      </w:pPr>
      <w:r w:rsidRPr="00356758">
        <w:rPr>
          <w:b/>
          <w:sz w:val="24"/>
          <w:lang w:val="es-AR"/>
        </w:rPr>
        <w:t>BAHIA BLANCA</w:t>
      </w:r>
      <w:r w:rsidRPr="00356758">
        <w:rPr>
          <w:sz w:val="24"/>
          <w:lang w:val="es-AR"/>
        </w:rPr>
        <w:t xml:space="preserve">, </w:t>
      </w:r>
    </w:p>
    <w:p w:rsidR="00356758" w:rsidRDefault="00356758" w:rsidP="00356758">
      <w:pPr>
        <w:ind w:firstLine="3402"/>
        <w:rPr>
          <w:b/>
          <w:snapToGrid/>
          <w:sz w:val="24"/>
          <w:lang w:val="es-ES_tradnl" w:eastAsia="en-US"/>
        </w:rPr>
      </w:pPr>
    </w:p>
    <w:p w:rsidR="00356758" w:rsidRDefault="00356758" w:rsidP="001247F4">
      <w:pPr>
        <w:rPr>
          <w:b/>
          <w:snapToGrid/>
          <w:sz w:val="24"/>
          <w:lang w:val="es-ES_tradnl" w:eastAsia="en-US"/>
        </w:rPr>
      </w:pPr>
    </w:p>
    <w:p w:rsidR="004850F1" w:rsidRPr="00356758" w:rsidRDefault="004850F1" w:rsidP="001247F4">
      <w:pPr>
        <w:rPr>
          <w:b/>
          <w:snapToGrid/>
          <w:sz w:val="24"/>
          <w:lang w:val="es-ES_tradnl" w:eastAsia="en-US"/>
        </w:rPr>
      </w:pPr>
      <w:r w:rsidRPr="00356758">
        <w:rPr>
          <w:b/>
          <w:snapToGrid/>
          <w:sz w:val="24"/>
          <w:lang w:val="es-ES_tradnl" w:eastAsia="en-US"/>
        </w:rPr>
        <w:t xml:space="preserve">VISTO: </w:t>
      </w:r>
    </w:p>
    <w:p w:rsidR="004850F1" w:rsidRPr="00356758" w:rsidRDefault="004850F1" w:rsidP="001247F4">
      <w:pPr>
        <w:rPr>
          <w:b/>
          <w:snapToGrid/>
          <w:sz w:val="24"/>
          <w:lang w:val="es-ES_tradnl" w:eastAsia="en-US"/>
        </w:rPr>
      </w:pPr>
    </w:p>
    <w:p w:rsidR="004850F1" w:rsidRPr="00356758" w:rsidRDefault="00CA4201" w:rsidP="004850F1">
      <w:pPr>
        <w:ind w:firstLine="851"/>
        <w:jc w:val="both"/>
        <w:rPr>
          <w:snapToGrid/>
          <w:sz w:val="24"/>
          <w:szCs w:val="24"/>
          <w:lang w:val="es-ES" w:eastAsia="en-US"/>
        </w:rPr>
      </w:pPr>
      <w:r w:rsidRPr="00356758">
        <w:rPr>
          <w:snapToGrid/>
          <w:sz w:val="24"/>
          <w:szCs w:val="24"/>
          <w:lang w:val="es-ES" w:eastAsia="en-US"/>
        </w:rPr>
        <w:t xml:space="preserve">La resolución CSU-261/13 mediante la cual se aprueba el código de convivencia con el fin de proveer una guía para orientar el comportamiento de los miembros de la comunidad de la Universidad Nacional del Sur; </w:t>
      </w:r>
      <w:r w:rsidR="004850F1" w:rsidRPr="00356758">
        <w:rPr>
          <w:snapToGrid/>
          <w:sz w:val="24"/>
          <w:szCs w:val="24"/>
          <w:lang w:val="es-ES" w:eastAsia="en-US"/>
        </w:rPr>
        <w:t>y</w:t>
      </w:r>
    </w:p>
    <w:p w:rsidR="004850F1" w:rsidRPr="00356758" w:rsidRDefault="004850F1" w:rsidP="001247F4">
      <w:pPr>
        <w:rPr>
          <w:b/>
          <w:snapToGrid/>
          <w:sz w:val="24"/>
          <w:lang w:val="es-ES_tradnl" w:eastAsia="en-US"/>
        </w:rPr>
      </w:pPr>
    </w:p>
    <w:p w:rsidR="001247F4" w:rsidRPr="00356758" w:rsidRDefault="001247F4" w:rsidP="001247F4">
      <w:pPr>
        <w:rPr>
          <w:b/>
          <w:snapToGrid/>
          <w:sz w:val="24"/>
          <w:lang w:val="es-ES_tradnl" w:eastAsia="en-US"/>
        </w:rPr>
      </w:pPr>
      <w:r w:rsidRPr="00356758">
        <w:rPr>
          <w:b/>
          <w:snapToGrid/>
          <w:sz w:val="24"/>
          <w:lang w:val="es-ES_tradnl" w:eastAsia="en-US"/>
        </w:rPr>
        <w:t>CONSIDERANDO:</w:t>
      </w:r>
    </w:p>
    <w:p w:rsidR="00BF676B" w:rsidRPr="00356758" w:rsidRDefault="004850F1" w:rsidP="00BF676B">
      <w:pPr>
        <w:widowControl w:val="0"/>
        <w:tabs>
          <w:tab w:val="left" w:pos="1440"/>
          <w:tab w:val="left" w:pos="3600"/>
          <w:tab w:val="left" w:pos="3888"/>
          <w:tab w:val="left" w:pos="5040"/>
        </w:tabs>
        <w:jc w:val="both"/>
        <w:rPr>
          <w:sz w:val="24"/>
          <w:lang w:val="es-AR"/>
        </w:rPr>
      </w:pPr>
      <w:r w:rsidRPr="00356758">
        <w:rPr>
          <w:sz w:val="24"/>
          <w:lang w:val="es-AR"/>
        </w:rPr>
        <w:t xml:space="preserve"> </w:t>
      </w:r>
    </w:p>
    <w:p w:rsidR="004850F1" w:rsidRDefault="00CA4201" w:rsidP="004850F1">
      <w:pPr>
        <w:ind w:firstLine="851"/>
        <w:jc w:val="both"/>
        <w:rPr>
          <w:snapToGrid/>
          <w:sz w:val="24"/>
          <w:szCs w:val="24"/>
          <w:lang w:val="es-ES" w:eastAsia="en-US"/>
        </w:rPr>
      </w:pPr>
      <w:r w:rsidRPr="00356758">
        <w:rPr>
          <w:snapToGrid/>
          <w:sz w:val="24"/>
          <w:szCs w:val="24"/>
          <w:lang w:val="es-ES" w:eastAsia="en-US"/>
        </w:rPr>
        <w:t xml:space="preserve">Que de acuerdo a lo establecido en la misma es necesario nombrar anualmente representantes docentes, no docentes y alumnos de esta Unidad Académica que deberán conformar la Comisión de Convivencia en caso de que sea requerido; </w:t>
      </w:r>
    </w:p>
    <w:p w:rsidR="00D904E8" w:rsidRDefault="00D904E8" w:rsidP="004850F1">
      <w:pPr>
        <w:ind w:firstLine="851"/>
        <w:jc w:val="both"/>
        <w:rPr>
          <w:snapToGrid/>
          <w:sz w:val="24"/>
          <w:szCs w:val="24"/>
          <w:lang w:val="es-ES" w:eastAsia="en-US"/>
        </w:rPr>
      </w:pPr>
    </w:p>
    <w:p w:rsidR="00D904E8" w:rsidRPr="00356758" w:rsidRDefault="00D904E8" w:rsidP="004850F1">
      <w:pPr>
        <w:ind w:firstLine="851"/>
        <w:jc w:val="both"/>
        <w:rPr>
          <w:snapToGrid/>
          <w:sz w:val="24"/>
          <w:szCs w:val="24"/>
          <w:lang w:val="es-ES" w:eastAsia="en-US"/>
        </w:rPr>
      </w:pPr>
      <w:r>
        <w:rPr>
          <w:snapToGrid/>
          <w:sz w:val="24"/>
          <w:szCs w:val="24"/>
          <w:lang w:val="es-ES" w:eastAsia="en-US"/>
        </w:rPr>
        <w:t>Que el Consejo Departamental aprobó en su reunión ordinaria de fecha 05 de abril de 2022, dichas designaciones;</w:t>
      </w:r>
    </w:p>
    <w:p w:rsidR="00B0712A" w:rsidRPr="00356758" w:rsidRDefault="00B0712A" w:rsidP="000973E1">
      <w:pPr>
        <w:spacing w:line="260" w:lineRule="exact"/>
        <w:jc w:val="both"/>
        <w:rPr>
          <w:snapToGrid/>
          <w:sz w:val="24"/>
          <w:lang w:eastAsia="en-US"/>
        </w:rPr>
      </w:pPr>
    </w:p>
    <w:p w:rsidR="00D904E8" w:rsidRDefault="00D904E8" w:rsidP="00BF676B">
      <w:pPr>
        <w:spacing w:line="260" w:lineRule="exact"/>
        <w:rPr>
          <w:b/>
          <w:snapToGrid/>
          <w:sz w:val="24"/>
          <w:lang w:val="es-ES_tradnl" w:eastAsia="en-US"/>
        </w:rPr>
      </w:pPr>
    </w:p>
    <w:p w:rsidR="00BF676B" w:rsidRPr="00356758" w:rsidRDefault="00BF676B" w:rsidP="00BF676B">
      <w:pPr>
        <w:spacing w:line="260" w:lineRule="exact"/>
        <w:rPr>
          <w:b/>
          <w:snapToGrid/>
          <w:sz w:val="24"/>
          <w:lang w:val="es-ES_tradnl" w:eastAsia="en-US"/>
        </w:rPr>
      </w:pPr>
      <w:r w:rsidRPr="00356758">
        <w:rPr>
          <w:b/>
          <w:snapToGrid/>
          <w:sz w:val="24"/>
          <w:lang w:val="es-ES_tradnl" w:eastAsia="en-US"/>
        </w:rPr>
        <w:t xml:space="preserve">POR ELLO, </w:t>
      </w:r>
    </w:p>
    <w:p w:rsidR="00BF676B" w:rsidRPr="00356758" w:rsidRDefault="00BF676B" w:rsidP="00BF676B">
      <w:pPr>
        <w:spacing w:line="260" w:lineRule="exact"/>
        <w:rPr>
          <w:b/>
          <w:snapToGrid/>
          <w:sz w:val="24"/>
          <w:lang w:val="es-ES_tradnl" w:eastAsia="en-US"/>
        </w:rPr>
      </w:pPr>
    </w:p>
    <w:p w:rsidR="00BF676B" w:rsidRPr="00D904E8" w:rsidRDefault="00D904E8" w:rsidP="00D904E8">
      <w:pPr>
        <w:spacing w:line="260" w:lineRule="exact"/>
        <w:ind w:firstLine="1418"/>
        <w:jc w:val="center"/>
        <w:rPr>
          <w:b/>
          <w:bCs/>
          <w:snapToGrid/>
          <w:sz w:val="24"/>
          <w:lang w:val="es-ES_tradnl" w:eastAsia="en-US"/>
        </w:rPr>
      </w:pPr>
      <w:r w:rsidRPr="00D904E8">
        <w:rPr>
          <w:b/>
          <w:bCs/>
          <w:snapToGrid/>
          <w:sz w:val="24"/>
          <w:lang w:val="es-ES_tradnl" w:eastAsia="en-US"/>
        </w:rPr>
        <w:t>EL CONSEJO DEPARTAMENTAL DE CIENCIAS E INGENIERÍA DE LA COMPUTACIÓN</w:t>
      </w:r>
    </w:p>
    <w:p w:rsidR="00BF676B" w:rsidRPr="00356758" w:rsidRDefault="00BF676B" w:rsidP="00BF676B">
      <w:pPr>
        <w:spacing w:line="260" w:lineRule="exact"/>
        <w:jc w:val="right"/>
        <w:rPr>
          <w:b/>
          <w:snapToGrid/>
          <w:sz w:val="24"/>
          <w:lang w:val="es-ES_tradnl" w:eastAsia="en-US"/>
        </w:rPr>
      </w:pPr>
    </w:p>
    <w:p w:rsidR="00BF676B" w:rsidRPr="00356758" w:rsidRDefault="00D904E8" w:rsidP="00BF676B">
      <w:pPr>
        <w:spacing w:line="260" w:lineRule="exact"/>
        <w:jc w:val="center"/>
        <w:rPr>
          <w:bCs/>
          <w:snapToGrid/>
          <w:sz w:val="24"/>
          <w:lang w:val="es-ES_tradnl" w:eastAsia="en-US"/>
        </w:rPr>
      </w:pPr>
      <w:r>
        <w:rPr>
          <w:b/>
          <w:snapToGrid/>
          <w:sz w:val="24"/>
          <w:lang w:val="es-ES_tradnl" w:eastAsia="en-US"/>
        </w:rPr>
        <w:t>RESUELVE</w:t>
      </w:r>
      <w:r w:rsidR="00BF676B" w:rsidRPr="00356758">
        <w:rPr>
          <w:b/>
          <w:snapToGrid/>
          <w:sz w:val="24"/>
          <w:lang w:val="es-ES_tradnl" w:eastAsia="en-US"/>
        </w:rPr>
        <w:t>:</w:t>
      </w:r>
    </w:p>
    <w:p w:rsidR="001247F4" w:rsidRPr="00356758" w:rsidRDefault="001247F4" w:rsidP="001247F4">
      <w:pPr>
        <w:jc w:val="both"/>
        <w:rPr>
          <w:b/>
          <w:sz w:val="24"/>
          <w:lang w:val="es-ES_tradnl"/>
        </w:rPr>
      </w:pPr>
    </w:p>
    <w:p w:rsidR="008A335B" w:rsidRPr="00356758" w:rsidRDefault="00D904E8" w:rsidP="00CA4201">
      <w:pPr>
        <w:overflowPunct w:val="0"/>
        <w:autoSpaceDE w:val="0"/>
        <w:autoSpaceDN w:val="0"/>
        <w:adjustRightInd w:val="0"/>
        <w:jc w:val="both"/>
        <w:textAlignment w:val="baseline"/>
        <w:rPr>
          <w:snapToGrid/>
          <w:sz w:val="24"/>
          <w:lang w:val="pt-BR"/>
        </w:rPr>
      </w:pPr>
      <w:r>
        <w:rPr>
          <w:b/>
          <w:snapToGrid/>
          <w:sz w:val="24"/>
          <w:lang w:val="pt-BR"/>
        </w:rPr>
        <w:t>ARTICULO</w:t>
      </w:r>
      <w:r w:rsidR="00CA4201" w:rsidRPr="00356758">
        <w:rPr>
          <w:b/>
          <w:snapToGrid/>
          <w:sz w:val="24"/>
          <w:lang w:val="pt-BR"/>
        </w:rPr>
        <w:t xml:space="preserve"> 1</w:t>
      </w:r>
      <w:r w:rsidR="00CA4201" w:rsidRPr="00356758">
        <w:rPr>
          <w:b/>
          <w:snapToGrid/>
          <w:sz w:val="24"/>
          <w:lang w:val="es-ES_tradnl"/>
        </w:rPr>
        <w:sym w:font="Symbol" w:char="F0B0"/>
      </w:r>
      <w:r>
        <w:rPr>
          <w:b/>
          <w:snapToGrid/>
          <w:sz w:val="24"/>
          <w:lang w:val="pt-BR"/>
        </w:rPr>
        <w:t>:</w:t>
      </w:r>
      <w:r w:rsidR="00CA4201" w:rsidRPr="00356758">
        <w:rPr>
          <w:snapToGrid/>
          <w:sz w:val="24"/>
          <w:lang w:val="pt-BR"/>
        </w:rPr>
        <w:t xml:space="preserve"> </w:t>
      </w:r>
      <w:r w:rsidR="008A335B" w:rsidRPr="00356758">
        <w:rPr>
          <w:snapToGrid/>
          <w:sz w:val="24"/>
          <w:lang w:val="pt-BR"/>
        </w:rPr>
        <w:t xml:space="preserve">Designar </w:t>
      </w:r>
      <w:proofErr w:type="spellStart"/>
      <w:r w:rsidR="000867BC" w:rsidRPr="00356758">
        <w:rPr>
          <w:snapToGrid/>
          <w:sz w:val="24"/>
          <w:lang w:val="pt-BR"/>
        </w:rPr>
        <w:t>los</w:t>
      </w:r>
      <w:proofErr w:type="spellEnd"/>
      <w:r w:rsidR="000867BC" w:rsidRPr="00356758">
        <w:rPr>
          <w:snapToGrid/>
          <w:sz w:val="24"/>
          <w:lang w:val="pt-BR"/>
        </w:rPr>
        <w:t xml:space="preserve"> </w:t>
      </w:r>
      <w:proofErr w:type="spellStart"/>
      <w:r w:rsidR="008A335B" w:rsidRPr="00356758">
        <w:rPr>
          <w:snapToGrid/>
          <w:sz w:val="24"/>
          <w:lang w:val="pt-BR"/>
        </w:rPr>
        <w:t>m</w:t>
      </w:r>
      <w:r w:rsidR="000867BC" w:rsidRPr="00356758">
        <w:rPr>
          <w:snapToGrid/>
          <w:sz w:val="24"/>
          <w:lang w:val="pt-BR"/>
        </w:rPr>
        <w:t>i</w:t>
      </w:r>
      <w:r w:rsidR="008A335B" w:rsidRPr="00356758">
        <w:rPr>
          <w:snapToGrid/>
          <w:sz w:val="24"/>
          <w:lang w:val="pt-BR"/>
        </w:rPr>
        <w:t>embros</w:t>
      </w:r>
      <w:proofErr w:type="spellEnd"/>
      <w:r w:rsidR="008A335B" w:rsidRPr="00356758">
        <w:rPr>
          <w:snapToGrid/>
          <w:sz w:val="24"/>
          <w:lang w:val="pt-BR"/>
        </w:rPr>
        <w:t xml:space="preserve"> </w:t>
      </w:r>
      <w:r w:rsidR="000867BC" w:rsidRPr="00356758">
        <w:rPr>
          <w:snapToGrid/>
          <w:sz w:val="24"/>
          <w:lang w:val="pt-BR"/>
        </w:rPr>
        <w:t xml:space="preserve">que </w:t>
      </w:r>
      <w:proofErr w:type="spellStart"/>
      <w:r w:rsidR="000867BC" w:rsidRPr="00356758">
        <w:rPr>
          <w:snapToGrid/>
          <w:sz w:val="24"/>
          <w:lang w:val="pt-BR"/>
        </w:rPr>
        <w:t>integrarán</w:t>
      </w:r>
      <w:proofErr w:type="spellEnd"/>
      <w:r w:rsidR="008A335B" w:rsidRPr="00356758">
        <w:rPr>
          <w:snapToGrid/>
          <w:sz w:val="24"/>
          <w:lang w:val="pt-BR"/>
        </w:rPr>
        <w:t xml:space="preserve"> </w:t>
      </w:r>
      <w:proofErr w:type="spellStart"/>
      <w:r w:rsidR="008A335B" w:rsidRPr="00356758">
        <w:rPr>
          <w:snapToGrid/>
          <w:sz w:val="24"/>
          <w:lang w:val="pt-BR"/>
        </w:rPr>
        <w:t>la</w:t>
      </w:r>
      <w:proofErr w:type="spellEnd"/>
      <w:r w:rsidR="008A335B" w:rsidRPr="00356758">
        <w:rPr>
          <w:snapToGrid/>
          <w:sz w:val="24"/>
          <w:lang w:val="pt-BR"/>
        </w:rPr>
        <w:t xml:space="preserve"> </w:t>
      </w:r>
      <w:proofErr w:type="spellStart"/>
      <w:r w:rsidR="008A335B" w:rsidRPr="00356758">
        <w:rPr>
          <w:snapToGrid/>
          <w:sz w:val="24"/>
          <w:lang w:val="pt-BR"/>
        </w:rPr>
        <w:t>Comisión</w:t>
      </w:r>
      <w:proofErr w:type="spellEnd"/>
      <w:r w:rsidR="008A335B" w:rsidRPr="00356758">
        <w:rPr>
          <w:snapToGrid/>
          <w:sz w:val="24"/>
          <w:lang w:val="pt-BR"/>
        </w:rPr>
        <w:t xml:space="preserve"> de </w:t>
      </w:r>
      <w:proofErr w:type="spellStart"/>
      <w:r w:rsidR="008A335B" w:rsidRPr="00356758">
        <w:rPr>
          <w:snapToGrid/>
          <w:sz w:val="24"/>
          <w:lang w:val="pt-BR"/>
        </w:rPr>
        <w:t>Convivencia</w:t>
      </w:r>
      <w:proofErr w:type="spellEnd"/>
      <w:r w:rsidR="008A335B" w:rsidRPr="00356758">
        <w:rPr>
          <w:snapToGrid/>
          <w:sz w:val="24"/>
          <w:lang w:val="pt-BR"/>
        </w:rPr>
        <w:t xml:space="preserve"> </w:t>
      </w:r>
      <w:proofErr w:type="spellStart"/>
      <w:r w:rsidR="008A335B" w:rsidRPr="00356758">
        <w:rPr>
          <w:snapToGrid/>
          <w:sz w:val="24"/>
          <w:lang w:val="pt-BR"/>
        </w:rPr>
        <w:t>del</w:t>
      </w:r>
      <w:proofErr w:type="spellEnd"/>
      <w:r w:rsidR="008A335B" w:rsidRPr="00356758">
        <w:rPr>
          <w:snapToGrid/>
          <w:sz w:val="24"/>
          <w:lang w:val="pt-BR"/>
        </w:rPr>
        <w:t xml:space="preserve"> Departamento de </w:t>
      </w:r>
      <w:proofErr w:type="spellStart"/>
      <w:r w:rsidR="008A335B" w:rsidRPr="00356758">
        <w:rPr>
          <w:snapToGrid/>
          <w:sz w:val="24"/>
          <w:lang w:val="pt-BR"/>
        </w:rPr>
        <w:t>Ciencias</w:t>
      </w:r>
      <w:proofErr w:type="spellEnd"/>
      <w:r w:rsidR="008A335B" w:rsidRPr="00356758">
        <w:rPr>
          <w:snapToGrid/>
          <w:sz w:val="24"/>
          <w:lang w:val="pt-BR"/>
        </w:rPr>
        <w:t xml:space="preserve"> e </w:t>
      </w:r>
      <w:proofErr w:type="spellStart"/>
      <w:r w:rsidR="008A335B" w:rsidRPr="00356758">
        <w:rPr>
          <w:snapToGrid/>
          <w:sz w:val="24"/>
          <w:lang w:val="pt-BR"/>
        </w:rPr>
        <w:t>Ingeniería</w:t>
      </w:r>
      <w:proofErr w:type="spellEnd"/>
      <w:r w:rsidR="008A335B" w:rsidRPr="00356758">
        <w:rPr>
          <w:snapToGrid/>
          <w:sz w:val="24"/>
          <w:lang w:val="pt-BR"/>
        </w:rPr>
        <w:t xml:space="preserve"> de </w:t>
      </w:r>
      <w:proofErr w:type="spellStart"/>
      <w:r w:rsidR="008A335B" w:rsidRPr="00356758">
        <w:rPr>
          <w:snapToGrid/>
          <w:sz w:val="24"/>
          <w:lang w:val="pt-BR"/>
        </w:rPr>
        <w:t>Computación</w:t>
      </w:r>
      <w:proofErr w:type="spellEnd"/>
      <w:r w:rsidR="000867BC" w:rsidRPr="00356758">
        <w:rPr>
          <w:snapToGrid/>
          <w:sz w:val="24"/>
          <w:lang w:val="pt-BR"/>
        </w:rPr>
        <w:t xml:space="preserve">, </w:t>
      </w:r>
      <w:proofErr w:type="spellStart"/>
      <w:r w:rsidR="000867BC" w:rsidRPr="00356758">
        <w:rPr>
          <w:snapToGrid/>
          <w:sz w:val="24"/>
          <w:lang w:val="pt-BR"/>
        </w:rPr>
        <w:t>la</w:t>
      </w:r>
      <w:proofErr w:type="spellEnd"/>
      <w:r w:rsidR="000867BC" w:rsidRPr="00356758">
        <w:rPr>
          <w:snapToGrid/>
          <w:sz w:val="24"/>
          <w:lang w:val="pt-BR"/>
        </w:rPr>
        <w:t xml:space="preserve"> </w:t>
      </w:r>
      <w:proofErr w:type="spellStart"/>
      <w:r w:rsidR="000867BC" w:rsidRPr="00356758">
        <w:rPr>
          <w:snapToGrid/>
          <w:sz w:val="24"/>
          <w:lang w:val="pt-BR"/>
        </w:rPr>
        <w:t>cual</w:t>
      </w:r>
      <w:proofErr w:type="spellEnd"/>
      <w:r w:rsidR="000867BC" w:rsidRPr="00356758">
        <w:rPr>
          <w:snapToGrid/>
          <w:sz w:val="24"/>
          <w:lang w:val="pt-BR"/>
        </w:rPr>
        <w:t xml:space="preserve"> quedará </w:t>
      </w:r>
      <w:proofErr w:type="spellStart"/>
      <w:r w:rsidR="000867BC" w:rsidRPr="00356758">
        <w:rPr>
          <w:snapToGrid/>
          <w:sz w:val="24"/>
          <w:lang w:val="pt-BR"/>
        </w:rPr>
        <w:t>compuesta</w:t>
      </w:r>
      <w:proofErr w:type="spellEnd"/>
      <w:r w:rsidR="000867BC" w:rsidRPr="00356758">
        <w:rPr>
          <w:snapToGrid/>
          <w:sz w:val="24"/>
          <w:lang w:val="pt-BR"/>
        </w:rPr>
        <w:t xml:space="preserve"> de </w:t>
      </w:r>
      <w:proofErr w:type="spellStart"/>
      <w:r w:rsidR="000867BC" w:rsidRPr="00356758">
        <w:rPr>
          <w:snapToGrid/>
          <w:sz w:val="24"/>
          <w:lang w:val="pt-BR"/>
        </w:rPr>
        <w:t>l</w:t>
      </w:r>
      <w:r w:rsidR="008A335B" w:rsidRPr="00356758">
        <w:rPr>
          <w:snapToGrid/>
          <w:sz w:val="24"/>
          <w:lang w:val="pt-BR"/>
        </w:rPr>
        <w:t>a</w:t>
      </w:r>
      <w:proofErr w:type="spellEnd"/>
      <w:r w:rsidR="000867BC" w:rsidRPr="00356758">
        <w:rPr>
          <w:snapToGrid/>
          <w:sz w:val="24"/>
          <w:lang w:val="pt-BR"/>
        </w:rPr>
        <w:t xml:space="preserve"> </w:t>
      </w:r>
      <w:proofErr w:type="spellStart"/>
      <w:r w:rsidR="000867BC" w:rsidRPr="00356758">
        <w:rPr>
          <w:snapToGrid/>
          <w:sz w:val="24"/>
          <w:lang w:val="pt-BR"/>
        </w:rPr>
        <w:t>siguiente</w:t>
      </w:r>
      <w:proofErr w:type="spellEnd"/>
      <w:r w:rsidR="000867BC" w:rsidRPr="00356758">
        <w:rPr>
          <w:snapToGrid/>
          <w:sz w:val="24"/>
          <w:lang w:val="pt-BR"/>
        </w:rPr>
        <w:t xml:space="preserve"> </w:t>
      </w:r>
      <w:proofErr w:type="spellStart"/>
      <w:r w:rsidR="000867BC" w:rsidRPr="00356758">
        <w:rPr>
          <w:snapToGrid/>
          <w:sz w:val="24"/>
          <w:lang w:val="pt-BR"/>
        </w:rPr>
        <w:t>manera</w:t>
      </w:r>
      <w:proofErr w:type="spellEnd"/>
      <w:r w:rsidR="008A335B" w:rsidRPr="00356758">
        <w:rPr>
          <w:snapToGrid/>
          <w:sz w:val="24"/>
          <w:lang w:val="pt-BR"/>
        </w:rPr>
        <w:t xml:space="preserve">: </w:t>
      </w:r>
    </w:p>
    <w:p w:rsidR="008A335B" w:rsidRPr="00356758" w:rsidRDefault="008A335B" w:rsidP="008A335B">
      <w:pPr>
        <w:jc w:val="both"/>
        <w:rPr>
          <w:snapToGrid/>
          <w:sz w:val="24"/>
          <w:lang w:val="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49"/>
        <w:gridCol w:w="4639"/>
      </w:tblGrid>
      <w:tr w:rsidR="008A335B" w:rsidRPr="00356758" w:rsidTr="000867BC">
        <w:tc>
          <w:tcPr>
            <w:tcW w:w="4842" w:type="dxa"/>
            <w:shd w:val="clear" w:color="auto" w:fill="auto"/>
          </w:tcPr>
          <w:p w:rsidR="008A335B" w:rsidRPr="00356758" w:rsidRDefault="008A335B" w:rsidP="008A335B">
            <w:pPr>
              <w:jc w:val="both"/>
              <w:rPr>
                <w:b/>
                <w:snapToGrid/>
                <w:sz w:val="24"/>
                <w:lang w:val="es-AR"/>
              </w:rPr>
            </w:pPr>
            <w:r w:rsidRPr="00356758">
              <w:rPr>
                <w:b/>
                <w:snapToGrid/>
                <w:sz w:val="24"/>
                <w:lang w:val="es-AR"/>
              </w:rPr>
              <w:t>Titulares</w:t>
            </w:r>
          </w:p>
        </w:tc>
        <w:tc>
          <w:tcPr>
            <w:tcW w:w="4843" w:type="dxa"/>
            <w:shd w:val="clear" w:color="auto" w:fill="auto"/>
          </w:tcPr>
          <w:p w:rsidR="008A335B" w:rsidRPr="00356758" w:rsidRDefault="008A335B" w:rsidP="008A335B">
            <w:pPr>
              <w:jc w:val="both"/>
              <w:rPr>
                <w:b/>
                <w:snapToGrid/>
                <w:sz w:val="24"/>
                <w:lang w:val="es-AR"/>
              </w:rPr>
            </w:pPr>
            <w:r w:rsidRPr="00356758">
              <w:rPr>
                <w:b/>
                <w:snapToGrid/>
                <w:sz w:val="24"/>
                <w:lang w:val="es-AR"/>
              </w:rPr>
              <w:t>Suplentes</w:t>
            </w:r>
          </w:p>
        </w:tc>
      </w:tr>
      <w:tr w:rsidR="008A335B" w:rsidRPr="00356758" w:rsidTr="000867BC">
        <w:tc>
          <w:tcPr>
            <w:tcW w:w="9685" w:type="dxa"/>
            <w:gridSpan w:val="2"/>
            <w:shd w:val="clear" w:color="auto" w:fill="auto"/>
          </w:tcPr>
          <w:p w:rsidR="008A335B" w:rsidRPr="00356758" w:rsidRDefault="008A335B" w:rsidP="008A335B">
            <w:pPr>
              <w:jc w:val="center"/>
              <w:rPr>
                <w:b/>
                <w:snapToGrid/>
                <w:sz w:val="24"/>
                <w:lang w:val="es-AR"/>
              </w:rPr>
            </w:pPr>
            <w:r w:rsidRPr="00356758">
              <w:rPr>
                <w:b/>
                <w:snapToGrid/>
                <w:sz w:val="24"/>
                <w:lang w:val="es-AR"/>
              </w:rPr>
              <w:t>Docentes</w:t>
            </w:r>
          </w:p>
        </w:tc>
      </w:tr>
      <w:tr w:rsidR="008A335B" w:rsidRPr="00356758" w:rsidTr="000867BC">
        <w:tc>
          <w:tcPr>
            <w:tcW w:w="4842" w:type="dxa"/>
            <w:shd w:val="clear" w:color="auto" w:fill="auto"/>
          </w:tcPr>
          <w:p w:rsidR="008A335B" w:rsidRPr="00356758" w:rsidRDefault="008A335B" w:rsidP="000867BC">
            <w:pPr>
              <w:jc w:val="both"/>
              <w:rPr>
                <w:snapToGrid/>
                <w:sz w:val="24"/>
                <w:lang w:val="es-AR"/>
              </w:rPr>
            </w:pPr>
            <w:r w:rsidRPr="00356758">
              <w:rPr>
                <w:snapToGrid/>
                <w:sz w:val="24"/>
                <w:lang w:val="es-AR"/>
              </w:rPr>
              <w:t xml:space="preserve">Dr. </w:t>
            </w:r>
            <w:r w:rsidR="000867BC" w:rsidRPr="00356758">
              <w:rPr>
                <w:snapToGrid/>
                <w:sz w:val="24"/>
                <w:lang w:val="es-AR"/>
              </w:rPr>
              <w:t>Martín L. Larrea (</w:t>
            </w:r>
            <w:proofErr w:type="spellStart"/>
            <w:r w:rsidR="000867BC" w:rsidRPr="00356758">
              <w:rPr>
                <w:snapToGrid/>
                <w:sz w:val="24"/>
                <w:lang w:val="es-AR"/>
              </w:rPr>
              <w:t>Leg</w:t>
            </w:r>
            <w:proofErr w:type="spellEnd"/>
            <w:r w:rsidR="000867BC" w:rsidRPr="00356758">
              <w:rPr>
                <w:snapToGrid/>
                <w:sz w:val="24"/>
                <w:lang w:val="es-AR"/>
              </w:rPr>
              <w:t>. 9765)</w:t>
            </w:r>
          </w:p>
        </w:tc>
        <w:tc>
          <w:tcPr>
            <w:tcW w:w="4843" w:type="dxa"/>
            <w:shd w:val="clear" w:color="auto" w:fill="auto"/>
          </w:tcPr>
          <w:p w:rsidR="008A335B" w:rsidRPr="00356758" w:rsidRDefault="000867BC" w:rsidP="008A335B">
            <w:pPr>
              <w:jc w:val="both"/>
              <w:rPr>
                <w:snapToGrid/>
                <w:sz w:val="24"/>
                <w:lang w:val="es-AR"/>
              </w:rPr>
            </w:pPr>
            <w:r w:rsidRPr="00356758">
              <w:rPr>
                <w:snapToGrid/>
                <w:sz w:val="24"/>
                <w:lang w:val="es-AR"/>
              </w:rPr>
              <w:t>Dr. Diego R. García (</w:t>
            </w:r>
            <w:proofErr w:type="spellStart"/>
            <w:r w:rsidRPr="00356758">
              <w:rPr>
                <w:snapToGrid/>
                <w:sz w:val="24"/>
                <w:lang w:val="es-AR"/>
              </w:rPr>
              <w:t>Leg</w:t>
            </w:r>
            <w:proofErr w:type="spellEnd"/>
            <w:r w:rsidRPr="00356758">
              <w:rPr>
                <w:snapToGrid/>
                <w:sz w:val="24"/>
                <w:lang w:val="es-AR"/>
              </w:rPr>
              <w:t>. 9924)</w:t>
            </w:r>
          </w:p>
        </w:tc>
      </w:tr>
      <w:tr w:rsidR="008A335B" w:rsidRPr="00356758" w:rsidTr="000867BC">
        <w:tc>
          <w:tcPr>
            <w:tcW w:w="4842" w:type="dxa"/>
            <w:shd w:val="clear" w:color="auto" w:fill="auto"/>
          </w:tcPr>
          <w:p w:rsidR="008A335B" w:rsidRPr="00356758" w:rsidRDefault="008A335B" w:rsidP="008A335B">
            <w:pPr>
              <w:jc w:val="both"/>
              <w:rPr>
                <w:snapToGrid/>
                <w:sz w:val="24"/>
                <w:lang w:val="es-AR"/>
              </w:rPr>
            </w:pPr>
          </w:p>
        </w:tc>
        <w:tc>
          <w:tcPr>
            <w:tcW w:w="4843" w:type="dxa"/>
            <w:shd w:val="clear" w:color="auto" w:fill="auto"/>
          </w:tcPr>
          <w:p w:rsidR="008A335B" w:rsidRPr="00356758" w:rsidRDefault="008A335B" w:rsidP="008A335B">
            <w:pPr>
              <w:jc w:val="both"/>
              <w:rPr>
                <w:snapToGrid/>
                <w:sz w:val="24"/>
                <w:lang w:val="es-AR"/>
              </w:rPr>
            </w:pPr>
          </w:p>
        </w:tc>
      </w:tr>
      <w:tr w:rsidR="008A335B" w:rsidRPr="00356758" w:rsidTr="000867BC">
        <w:tc>
          <w:tcPr>
            <w:tcW w:w="9685" w:type="dxa"/>
            <w:gridSpan w:val="2"/>
            <w:shd w:val="clear" w:color="auto" w:fill="auto"/>
          </w:tcPr>
          <w:p w:rsidR="008A335B" w:rsidRPr="00356758" w:rsidRDefault="008A335B" w:rsidP="008A335B">
            <w:pPr>
              <w:jc w:val="center"/>
              <w:rPr>
                <w:snapToGrid/>
                <w:sz w:val="24"/>
                <w:lang w:val="es-AR"/>
              </w:rPr>
            </w:pPr>
            <w:r w:rsidRPr="00356758">
              <w:rPr>
                <w:b/>
                <w:snapToGrid/>
                <w:sz w:val="24"/>
                <w:lang w:val="es-AR"/>
              </w:rPr>
              <w:t>No Docentes</w:t>
            </w:r>
          </w:p>
        </w:tc>
      </w:tr>
      <w:tr w:rsidR="008A335B" w:rsidRPr="00356758" w:rsidTr="000867BC">
        <w:tc>
          <w:tcPr>
            <w:tcW w:w="4842" w:type="dxa"/>
            <w:shd w:val="clear" w:color="auto" w:fill="auto"/>
          </w:tcPr>
          <w:p w:rsidR="008A335B" w:rsidRPr="00356758" w:rsidRDefault="000867BC" w:rsidP="008A335B">
            <w:pPr>
              <w:jc w:val="both"/>
              <w:rPr>
                <w:snapToGrid/>
                <w:sz w:val="24"/>
                <w:lang w:val="es-AR"/>
              </w:rPr>
            </w:pPr>
            <w:r w:rsidRPr="00356758">
              <w:rPr>
                <w:snapToGrid/>
                <w:sz w:val="24"/>
                <w:lang w:val="es-AR"/>
              </w:rPr>
              <w:t>Sra. María Julia Bergesio (</w:t>
            </w:r>
            <w:proofErr w:type="spellStart"/>
            <w:r w:rsidRPr="00356758">
              <w:rPr>
                <w:snapToGrid/>
                <w:sz w:val="24"/>
                <w:lang w:val="es-AR"/>
              </w:rPr>
              <w:t>Leg</w:t>
            </w:r>
            <w:proofErr w:type="spellEnd"/>
            <w:r w:rsidRPr="00356758">
              <w:rPr>
                <w:snapToGrid/>
                <w:sz w:val="24"/>
                <w:lang w:val="es-AR"/>
              </w:rPr>
              <w:t>. 12758)</w:t>
            </w:r>
          </w:p>
        </w:tc>
        <w:tc>
          <w:tcPr>
            <w:tcW w:w="4843" w:type="dxa"/>
            <w:shd w:val="clear" w:color="auto" w:fill="auto"/>
          </w:tcPr>
          <w:p w:rsidR="008A335B" w:rsidRPr="00356758" w:rsidRDefault="000867BC" w:rsidP="008A335B">
            <w:pPr>
              <w:jc w:val="both"/>
              <w:rPr>
                <w:snapToGrid/>
                <w:sz w:val="24"/>
                <w:lang w:val="es-AR"/>
              </w:rPr>
            </w:pPr>
            <w:r w:rsidRPr="00356758">
              <w:rPr>
                <w:snapToGrid/>
                <w:sz w:val="24"/>
                <w:lang w:val="es-AR"/>
              </w:rPr>
              <w:t>Sra. Andrea T. Hernández (</w:t>
            </w:r>
            <w:proofErr w:type="spellStart"/>
            <w:r w:rsidRPr="00356758">
              <w:rPr>
                <w:snapToGrid/>
                <w:sz w:val="24"/>
                <w:lang w:val="es-AR"/>
              </w:rPr>
              <w:t>Leg</w:t>
            </w:r>
            <w:proofErr w:type="spellEnd"/>
            <w:r w:rsidRPr="00356758">
              <w:rPr>
                <w:snapToGrid/>
                <w:sz w:val="24"/>
                <w:lang w:val="es-AR"/>
              </w:rPr>
              <w:t>. 12822)</w:t>
            </w:r>
          </w:p>
        </w:tc>
      </w:tr>
      <w:tr w:rsidR="008A335B" w:rsidRPr="00356758" w:rsidTr="000867BC">
        <w:tc>
          <w:tcPr>
            <w:tcW w:w="4842" w:type="dxa"/>
            <w:shd w:val="clear" w:color="auto" w:fill="auto"/>
          </w:tcPr>
          <w:p w:rsidR="008A335B" w:rsidRPr="00356758" w:rsidRDefault="008A335B" w:rsidP="008A335B">
            <w:pPr>
              <w:jc w:val="both"/>
              <w:rPr>
                <w:snapToGrid/>
                <w:sz w:val="24"/>
                <w:lang w:val="es-AR"/>
              </w:rPr>
            </w:pPr>
          </w:p>
        </w:tc>
        <w:tc>
          <w:tcPr>
            <w:tcW w:w="4843" w:type="dxa"/>
            <w:shd w:val="clear" w:color="auto" w:fill="auto"/>
          </w:tcPr>
          <w:p w:rsidR="008A335B" w:rsidRPr="00356758" w:rsidRDefault="008A335B" w:rsidP="008A335B">
            <w:pPr>
              <w:jc w:val="both"/>
              <w:rPr>
                <w:snapToGrid/>
                <w:sz w:val="24"/>
                <w:lang w:val="es-AR"/>
              </w:rPr>
            </w:pPr>
          </w:p>
        </w:tc>
      </w:tr>
      <w:tr w:rsidR="008A335B" w:rsidRPr="00356758" w:rsidTr="000867BC">
        <w:tc>
          <w:tcPr>
            <w:tcW w:w="9685" w:type="dxa"/>
            <w:gridSpan w:val="2"/>
            <w:shd w:val="clear" w:color="auto" w:fill="auto"/>
          </w:tcPr>
          <w:p w:rsidR="008A335B" w:rsidRPr="00356758" w:rsidRDefault="008A335B" w:rsidP="008A335B">
            <w:pPr>
              <w:jc w:val="center"/>
              <w:rPr>
                <w:b/>
                <w:snapToGrid/>
                <w:sz w:val="24"/>
                <w:lang w:val="es-AR"/>
              </w:rPr>
            </w:pPr>
            <w:r w:rsidRPr="00356758">
              <w:rPr>
                <w:b/>
                <w:snapToGrid/>
                <w:sz w:val="24"/>
                <w:lang w:val="es-AR"/>
              </w:rPr>
              <w:t>Alumnos</w:t>
            </w:r>
          </w:p>
        </w:tc>
      </w:tr>
      <w:tr w:rsidR="008A335B" w:rsidRPr="00356758" w:rsidTr="000867BC">
        <w:tc>
          <w:tcPr>
            <w:tcW w:w="4842" w:type="dxa"/>
            <w:shd w:val="clear" w:color="auto" w:fill="auto"/>
          </w:tcPr>
          <w:p w:rsidR="008A335B" w:rsidRPr="00356758" w:rsidRDefault="00D904E8" w:rsidP="000867BC">
            <w:pPr>
              <w:jc w:val="both"/>
              <w:rPr>
                <w:snapToGrid/>
                <w:sz w:val="24"/>
                <w:lang w:val="es-AR"/>
              </w:rPr>
            </w:pPr>
            <w:r>
              <w:rPr>
                <w:snapToGrid/>
                <w:sz w:val="24"/>
                <w:lang w:val="es-AR"/>
              </w:rPr>
              <w:t xml:space="preserve">Sr. Laureano Nicolás De Luca (Leg.114883 </w:t>
            </w:r>
            <w:r w:rsidR="000867BC" w:rsidRPr="00356758">
              <w:rPr>
                <w:snapToGrid/>
                <w:sz w:val="24"/>
                <w:lang w:val="es-AR"/>
              </w:rPr>
              <w:t>)</w:t>
            </w:r>
          </w:p>
        </w:tc>
        <w:tc>
          <w:tcPr>
            <w:tcW w:w="4843" w:type="dxa"/>
            <w:shd w:val="clear" w:color="auto" w:fill="auto"/>
          </w:tcPr>
          <w:p w:rsidR="008A335B" w:rsidRPr="00356758" w:rsidRDefault="00D904E8" w:rsidP="008A335B">
            <w:pPr>
              <w:jc w:val="both"/>
              <w:rPr>
                <w:snapToGrid/>
                <w:sz w:val="24"/>
                <w:lang w:val="pt-BR"/>
              </w:rPr>
            </w:pPr>
            <w:r>
              <w:rPr>
                <w:snapToGrid/>
                <w:sz w:val="24"/>
                <w:lang w:val="pt-BR"/>
              </w:rPr>
              <w:t xml:space="preserve">Sr. Alan </w:t>
            </w:r>
            <w:proofErr w:type="spellStart"/>
            <w:r>
              <w:rPr>
                <w:snapToGrid/>
                <w:sz w:val="24"/>
                <w:lang w:val="pt-BR"/>
              </w:rPr>
              <w:t>Rychert</w:t>
            </w:r>
            <w:proofErr w:type="spellEnd"/>
            <w:r>
              <w:rPr>
                <w:snapToGrid/>
                <w:sz w:val="24"/>
                <w:lang w:val="pt-BR"/>
              </w:rPr>
              <w:t xml:space="preserve"> (Leg. 121940</w:t>
            </w:r>
            <w:r w:rsidR="000867BC" w:rsidRPr="00356758">
              <w:rPr>
                <w:snapToGrid/>
                <w:sz w:val="24"/>
                <w:lang w:val="pt-BR"/>
              </w:rPr>
              <w:t>)</w:t>
            </w:r>
          </w:p>
        </w:tc>
      </w:tr>
    </w:tbl>
    <w:p w:rsidR="00CA4201" w:rsidRPr="00356758" w:rsidRDefault="00CA4201" w:rsidP="00CA4201">
      <w:pPr>
        <w:overflowPunct w:val="0"/>
        <w:autoSpaceDE w:val="0"/>
        <w:autoSpaceDN w:val="0"/>
        <w:adjustRightInd w:val="0"/>
        <w:jc w:val="both"/>
        <w:textAlignment w:val="baseline"/>
        <w:rPr>
          <w:b/>
          <w:snapToGrid/>
          <w:sz w:val="24"/>
          <w:lang w:val="es-ES_tradnl"/>
        </w:rPr>
      </w:pPr>
    </w:p>
    <w:p w:rsidR="00D904E8" w:rsidRDefault="00D904E8" w:rsidP="00CA4201">
      <w:pPr>
        <w:overflowPunct w:val="0"/>
        <w:autoSpaceDE w:val="0"/>
        <w:autoSpaceDN w:val="0"/>
        <w:adjustRightInd w:val="0"/>
        <w:jc w:val="both"/>
        <w:textAlignment w:val="baseline"/>
        <w:rPr>
          <w:b/>
          <w:snapToGrid/>
          <w:sz w:val="24"/>
          <w:lang w:val="es-ES_tradnl"/>
        </w:rPr>
      </w:pPr>
    </w:p>
    <w:p w:rsidR="00D904E8" w:rsidRDefault="00D904E8" w:rsidP="00CA4201">
      <w:pPr>
        <w:overflowPunct w:val="0"/>
        <w:autoSpaceDE w:val="0"/>
        <w:autoSpaceDN w:val="0"/>
        <w:adjustRightInd w:val="0"/>
        <w:jc w:val="both"/>
        <w:textAlignment w:val="baseline"/>
        <w:rPr>
          <w:b/>
          <w:snapToGrid/>
          <w:sz w:val="24"/>
          <w:lang w:val="es-ES_tradnl"/>
        </w:rPr>
      </w:pPr>
    </w:p>
    <w:p w:rsidR="00D904E8" w:rsidRDefault="00D904E8" w:rsidP="00CA4201">
      <w:pPr>
        <w:overflowPunct w:val="0"/>
        <w:autoSpaceDE w:val="0"/>
        <w:autoSpaceDN w:val="0"/>
        <w:adjustRightInd w:val="0"/>
        <w:jc w:val="both"/>
        <w:textAlignment w:val="baseline"/>
        <w:rPr>
          <w:b/>
          <w:snapToGrid/>
          <w:sz w:val="24"/>
          <w:lang w:val="es-ES_tradnl"/>
        </w:rPr>
      </w:pPr>
    </w:p>
    <w:p w:rsidR="00D904E8" w:rsidRDefault="00D904E8" w:rsidP="00CA4201">
      <w:pPr>
        <w:overflowPunct w:val="0"/>
        <w:autoSpaceDE w:val="0"/>
        <w:autoSpaceDN w:val="0"/>
        <w:adjustRightInd w:val="0"/>
        <w:jc w:val="both"/>
        <w:textAlignment w:val="baseline"/>
        <w:rPr>
          <w:b/>
          <w:snapToGrid/>
          <w:sz w:val="24"/>
          <w:lang w:val="es-ES_tradnl"/>
        </w:rPr>
      </w:pPr>
    </w:p>
    <w:p w:rsidR="00D904E8" w:rsidRDefault="00D904E8" w:rsidP="00CA4201">
      <w:pPr>
        <w:overflowPunct w:val="0"/>
        <w:autoSpaceDE w:val="0"/>
        <w:autoSpaceDN w:val="0"/>
        <w:adjustRightInd w:val="0"/>
        <w:jc w:val="both"/>
        <w:textAlignment w:val="baseline"/>
        <w:rPr>
          <w:b/>
          <w:snapToGrid/>
          <w:sz w:val="24"/>
          <w:lang w:val="es-ES_tradnl"/>
        </w:rPr>
      </w:pPr>
    </w:p>
    <w:p w:rsidR="00D904E8" w:rsidRDefault="00D904E8" w:rsidP="00CA4201">
      <w:pPr>
        <w:overflowPunct w:val="0"/>
        <w:autoSpaceDE w:val="0"/>
        <w:autoSpaceDN w:val="0"/>
        <w:adjustRightInd w:val="0"/>
        <w:jc w:val="both"/>
        <w:textAlignment w:val="baseline"/>
        <w:rPr>
          <w:b/>
          <w:snapToGrid/>
          <w:sz w:val="24"/>
          <w:lang w:val="es-ES_tradnl"/>
        </w:rPr>
      </w:pPr>
      <w:r>
        <w:rPr>
          <w:b/>
          <w:snapToGrid/>
          <w:sz w:val="24"/>
          <w:lang w:val="es-ES_tradnl"/>
        </w:rPr>
        <w:lastRenderedPageBreak/>
        <w:t xml:space="preserve">/// CDCIC- 073/22 </w:t>
      </w:r>
    </w:p>
    <w:p w:rsidR="00D904E8" w:rsidRDefault="00D904E8" w:rsidP="00CA4201">
      <w:pPr>
        <w:overflowPunct w:val="0"/>
        <w:autoSpaceDE w:val="0"/>
        <w:autoSpaceDN w:val="0"/>
        <w:adjustRightInd w:val="0"/>
        <w:jc w:val="both"/>
        <w:textAlignment w:val="baseline"/>
        <w:rPr>
          <w:b/>
          <w:snapToGrid/>
          <w:sz w:val="24"/>
          <w:lang w:val="es-ES_tradnl"/>
        </w:rPr>
      </w:pPr>
    </w:p>
    <w:p w:rsidR="00CA4201" w:rsidRPr="00356758" w:rsidRDefault="00D904E8" w:rsidP="00CA4201">
      <w:pPr>
        <w:overflowPunct w:val="0"/>
        <w:autoSpaceDE w:val="0"/>
        <w:autoSpaceDN w:val="0"/>
        <w:adjustRightInd w:val="0"/>
        <w:jc w:val="both"/>
        <w:textAlignment w:val="baseline"/>
        <w:rPr>
          <w:snapToGrid/>
          <w:sz w:val="24"/>
          <w:lang w:val="es-ES_tradnl"/>
        </w:rPr>
      </w:pPr>
      <w:r>
        <w:rPr>
          <w:b/>
          <w:snapToGrid/>
          <w:sz w:val="24"/>
          <w:lang w:val="es-ES_tradnl"/>
        </w:rPr>
        <w:t>ARTICULO 2º:</w:t>
      </w:r>
      <w:r w:rsidR="00CA4201" w:rsidRPr="00356758">
        <w:rPr>
          <w:snapToGrid/>
          <w:sz w:val="24"/>
          <w:lang w:val="es-ES_tradnl"/>
        </w:rPr>
        <w:t xml:space="preserve"> Regístrese; comuníquese; pase a conocimiento </w:t>
      </w:r>
      <w:r w:rsidR="000867BC" w:rsidRPr="00356758">
        <w:rPr>
          <w:snapToGrid/>
          <w:sz w:val="24"/>
          <w:lang w:val="es-ES_tradnl"/>
        </w:rPr>
        <w:t>del Consejo Superior Universitario</w:t>
      </w:r>
      <w:r w:rsidR="00CA4201" w:rsidRPr="00356758">
        <w:rPr>
          <w:snapToGrid/>
          <w:sz w:val="24"/>
          <w:lang w:val="es-ES_tradnl"/>
        </w:rPr>
        <w:t>; cumplido, archívese.--------------------------------------------</w:t>
      </w:r>
      <w:r w:rsidR="000867BC" w:rsidRPr="00356758">
        <w:rPr>
          <w:snapToGrid/>
          <w:sz w:val="24"/>
          <w:lang w:val="es-ES_tradnl"/>
        </w:rPr>
        <w:t>---------------------------</w:t>
      </w:r>
    </w:p>
    <w:p w:rsidR="001247F4" w:rsidRPr="00356758" w:rsidRDefault="001247F4" w:rsidP="001247F4">
      <w:pPr>
        <w:ind w:right="-29"/>
        <w:jc w:val="both"/>
        <w:rPr>
          <w:sz w:val="24"/>
          <w:lang w:val="es-ES_tradnl"/>
        </w:rPr>
      </w:pPr>
    </w:p>
    <w:p w:rsidR="005F1B0E" w:rsidRPr="00356758" w:rsidRDefault="005F1B0E" w:rsidP="001247F4">
      <w:pPr>
        <w:spacing w:line="260" w:lineRule="exact"/>
        <w:rPr>
          <w:sz w:val="24"/>
          <w:lang w:val="es-AR"/>
        </w:rPr>
      </w:pPr>
    </w:p>
    <w:sectPr w:rsidR="005F1B0E" w:rsidRPr="00356758" w:rsidSect="00356758">
      <w:pgSz w:w="11907" w:h="16840" w:code="9"/>
      <w:pgMar w:top="2835" w:right="567" w:bottom="851" w:left="2268" w:header="0" w:footer="0" w:gutter="0"/>
      <w:cols w:space="720"/>
      <w:docGrid w:linePitch="27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stylePaneFormatFilter w:val="3F01"/>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D39F5"/>
    <w:rsid w:val="00010691"/>
    <w:rsid w:val="00031695"/>
    <w:rsid w:val="000471AD"/>
    <w:rsid w:val="00064400"/>
    <w:rsid w:val="0006769A"/>
    <w:rsid w:val="000867BC"/>
    <w:rsid w:val="000973E1"/>
    <w:rsid w:val="000D27AC"/>
    <w:rsid w:val="001004C1"/>
    <w:rsid w:val="00105C7D"/>
    <w:rsid w:val="00114564"/>
    <w:rsid w:val="001247F4"/>
    <w:rsid w:val="00127A28"/>
    <w:rsid w:val="001404F8"/>
    <w:rsid w:val="0016514A"/>
    <w:rsid w:val="00166B81"/>
    <w:rsid w:val="00195914"/>
    <w:rsid w:val="001A6DEE"/>
    <w:rsid w:val="001B2170"/>
    <w:rsid w:val="001B6B2D"/>
    <w:rsid w:val="001F3DBD"/>
    <w:rsid w:val="00241F16"/>
    <w:rsid w:val="00246161"/>
    <w:rsid w:val="002470C6"/>
    <w:rsid w:val="0025697C"/>
    <w:rsid w:val="002724CF"/>
    <w:rsid w:val="0029078A"/>
    <w:rsid w:val="00291A97"/>
    <w:rsid w:val="0029482E"/>
    <w:rsid w:val="002B2E4F"/>
    <w:rsid w:val="002B656A"/>
    <w:rsid w:val="002C2D97"/>
    <w:rsid w:val="002E1C18"/>
    <w:rsid w:val="00317DDE"/>
    <w:rsid w:val="003265D4"/>
    <w:rsid w:val="00327F28"/>
    <w:rsid w:val="003530E5"/>
    <w:rsid w:val="00356758"/>
    <w:rsid w:val="0039653B"/>
    <w:rsid w:val="003C4F40"/>
    <w:rsid w:val="003D0ADA"/>
    <w:rsid w:val="003E0AF8"/>
    <w:rsid w:val="003E33CC"/>
    <w:rsid w:val="00427C9D"/>
    <w:rsid w:val="00441546"/>
    <w:rsid w:val="00453CE3"/>
    <w:rsid w:val="004557C1"/>
    <w:rsid w:val="0046778C"/>
    <w:rsid w:val="004850F1"/>
    <w:rsid w:val="00487C3B"/>
    <w:rsid w:val="0049036F"/>
    <w:rsid w:val="00491B18"/>
    <w:rsid w:val="00492121"/>
    <w:rsid w:val="004B353E"/>
    <w:rsid w:val="004B6AC6"/>
    <w:rsid w:val="004B759E"/>
    <w:rsid w:val="004C7022"/>
    <w:rsid w:val="004F49C1"/>
    <w:rsid w:val="005137F0"/>
    <w:rsid w:val="00526F88"/>
    <w:rsid w:val="0052710E"/>
    <w:rsid w:val="00531DA9"/>
    <w:rsid w:val="00544517"/>
    <w:rsid w:val="0055010D"/>
    <w:rsid w:val="0056001E"/>
    <w:rsid w:val="005673FD"/>
    <w:rsid w:val="005B715B"/>
    <w:rsid w:val="005C4430"/>
    <w:rsid w:val="005F03E3"/>
    <w:rsid w:val="005F1B0E"/>
    <w:rsid w:val="006244D4"/>
    <w:rsid w:val="0062558A"/>
    <w:rsid w:val="00693AFA"/>
    <w:rsid w:val="006A24C9"/>
    <w:rsid w:val="006B5F5E"/>
    <w:rsid w:val="007004A0"/>
    <w:rsid w:val="007413B4"/>
    <w:rsid w:val="007529BD"/>
    <w:rsid w:val="00766D79"/>
    <w:rsid w:val="00784ACF"/>
    <w:rsid w:val="007852EB"/>
    <w:rsid w:val="00792B0C"/>
    <w:rsid w:val="007A405A"/>
    <w:rsid w:val="007B1678"/>
    <w:rsid w:val="007B6618"/>
    <w:rsid w:val="007D6B4B"/>
    <w:rsid w:val="007E4593"/>
    <w:rsid w:val="00807AC4"/>
    <w:rsid w:val="00837026"/>
    <w:rsid w:val="00854658"/>
    <w:rsid w:val="008A335B"/>
    <w:rsid w:val="008A3AA1"/>
    <w:rsid w:val="008A4207"/>
    <w:rsid w:val="008A7B39"/>
    <w:rsid w:val="008B1F2D"/>
    <w:rsid w:val="008C272D"/>
    <w:rsid w:val="008C2C19"/>
    <w:rsid w:val="008E5B16"/>
    <w:rsid w:val="008F1314"/>
    <w:rsid w:val="009161EB"/>
    <w:rsid w:val="00947797"/>
    <w:rsid w:val="00976E2D"/>
    <w:rsid w:val="00996A6F"/>
    <w:rsid w:val="009C389B"/>
    <w:rsid w:val="009E3608"/>
    <w:rsid w:val="009F1943"/>
    <w:rsid w:val="00A04076"/>
    <w:rsid w:val="00A102D9"/>
    <w:rsid w:val="00A257BD"/>
    <w:rsid w:val="00A451DB"/>
    <w:rsid w:val="00A47E93"/>
    <w:rsid w:val="00A57737"/>
    <w:rsid w:val="00A66FBE"/>
    <w:rsid w:val="00A722B6"/>
    <w:rsid w:val="00A80C74"/>
    <w:rsid w:val="00AA03B1"/>
    <w:rsid w:val="00AA26EA"/>
    <w:rsid w:val="00AB4D9E"/>
    <w:rsid w:val="00AC49C5"/>
    <w:rsid w:val="00AD1E87"/>
    <w:rsid w:val="00B0712A"/>
    <w:rsid w:val="00B11636"/>
    <w:rsid w:val="00B4028C"/>
    <w:rsid w:val="00B40839"/>
    <w:rsid w:val="00B51AF8"/>
    <w:rsid w:val="00B62F32"/>
    <w:rsid w:val="00B66C7B"/>
    <w:rsid w:val="00BA2052"/>
    <w:rsid w:val="00BD39F5"/>
    <w:rsid w:val="00BE3110"/>
    <w:rsid w:val="00BF22AD"/>
    <w:rsid w:val="00BF5BF5"/>
    <w:rsid w:val="00BF676B"/>
    <w:rsid w:val="00C2757D"/>
    <w:rsid w:val="00C4527F"/>
    <w:rsid w:val="00C57653"/>
    <w:rsid w:val="00C66D29"/>
    <w:rsid w:val="00C80166"/>
    <w:rsid w:val="00C91F79"/>
    <w:rsid w:val="00CA0E6E"/>
    <w:rsid w:val="00CA4201"/>
    <w:rsid w:val="00CB35C1"/>
    <w:rsid w:val="00CC519E"/>
    <w:rsid w:val="00CE1537"/>
    <w:rsid w:val="00D34D58"/>
    <w:rsid w:val="00D37FFA"/>
    <w:rsid w:val="00D605ED"/>
    <w:rsid w:val="00D8788B"/>
    <w:rsid w:val="00D904E8"/>
    <w:rsid w:val="00DB066B"/>
    <w:rsid w:val="00DB75CF"/>
    <w:rsid w:val="00DD069F"/>
    <w:rsid w:val="00DE2803"/>
    <w:rsid w:val="00DE7E66"/>
    <w:rsid w:val="00DF3816"/>
    <w:rsid w:val="00E110C2"/>
    <w:rsid w:val="00E11BCD"/>
    <w:rsid w:val="00E13AB6"/>
    <w:rsid w:val="00E15A47"/>
    <w:rsid w:val="00E17AA3"/>
    <w:rsid w:val="00E2765C"/>
    <w:rsid w:val="00E44971"/>
    <w:rsid w:val="00E63233"/>
    <w:rsid w:val="00E8242A"/>
    <w:rsid w:val="00E93D01"/>
    <w:rsid w:val="00EA5475"/>
    <w:rsid w:val="00EB371C"/>
    <w:rsid w:val="00EB6E1E"/>
    <w:rsid w:val="00EC20E2"/>
    <w:rsid w:val="00ED154A"/>
    <w:rsid w:val="00F069DA"/>
    <w:rsid w:val="00F110F0"/>
    <w:rsid w:val="00F174B3"/>
    <w:rsid w:val="00F32515"/>
    <w:rsid w:val="00F47458"/>
    <w:rsid w:val="00F63898"/>
    <w:rsid w:val="00F80B8F"/>
    <w:rsid w:val="00F90A11"/>
    <w:rsid w:val="00FA334D"/>
    <w:rsid w:val="00FA34AA"/>
    <w:rsid w:val="00FD59C6"/>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napToGrid w:val="0"/>
      <w:lang w:val="en-US" w:eastAsia="es-ES"/>
    </w:rPr>
  </w:style>
  <w:style w:type="paragraph" w:styleId="Ttulo1">
    <w:name w:val="heading 1"/>
    <w:basedOn w:val="Normal"/>
    <w:next w:val="Normal"/>
    <w:qFormat/>
    <w:pPr>
      <w:keepNext/>
      <w:widowControl w:val="0"/>
      <w:jc w:val="both"/>
      <w:outlineLvl w:val="0"/>
    </w:pPr>
    <w:rPr>
      <w:rFonts w:ascii="Arial" w:hAnsi="Arial"/>
      <w:b/>
      <w:sz w:val="24"/>
    </w:rPr>
  </w:style>
  <w:style w:type="paragraph" w:styleId="Ttulo2">
    <w:name w:val="heading 2"/>
    <w:basedOn w:val="Normal"/>
    <w:next w:val="Normal"/>
    <w:qFormat/>
    <w:pPr>
      <w:keepNext/>
      <w:jc w:val="right"/>
      <w:outlineLvl w:val="1"/>
    </w:pPr>
    <w:rPr>
      <w:rFonts w:ascii="Arial" w:hAnsi="Arial"/>
      <w:b/>
      <w:sz w:val="22"/>
      <w:lang w:val="es-AR"/>
    </w:rPr>
  </w:style>
  <w:style w:type="paragraph" w:styleId="Ttulo4">
    <w:name w:val="heading 4"/>
    <w:basedOn w:val="Normal"/>
    <w:next w:val="Normal"/>
    <w:link w:val="Ttulo4Car"/>
    <w:semiHidden/>
    <w:unhideWhenUsed/>
    <w:qFormat/>
    <w:rsid w:val="00BF676B"/>
    <w:pPr>
      <w:keepNext/>
      <w:spacing w:before="240" w:after="60"/>
      <w:outlineLvl w:val="3"/>
    </w:pPr>
    <w:rPr>
      <w:rFonts w:ascii="Calibri" w:hAnsi="Calibri"/>
      <w:b/>
      <w:bCs/>
      <w:sz w:val="28"/>
      <w:szCs w:val="28"/>
    </w:rPr>
  </w:style>
  <w:style w:type="paragraph" w:styleId="Ttulo5">
    <w:name w:val="heading 5"/>
    <w:basedOn w:val="Normal"/>
    <w:next w:val="Normal"/>
    <w:link w:val="Ttulo5Car"/>
    <w:semiHidden/>
    <w:unhideWhenUsed/>
    <w:qFormat/>
    <w:rsid w:val="00BF676B"/>
    <w:pPr>
      <w:spacing w:before="240" w:after="60"/>
      <w:outlineLvl w:val="4"/>
    </w:pPr>
    <w:rPr>
      <w:rFonts w:ascii="Calibri" w:hAnsi="Calibri"/>
      <w:b/>
      <w:bCs/>
      <w:i/>
      <w:iCs/>
      <w:sz w:val="26"/>
      <w:szCs w:val="26"/>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widowControl w:val="0"/>
      <w:tabs>
        <w:tab w:val="left" w:pos="1440"/>
        <w:tab w:val="left" w:pos="3600"/>
        <w:tab w:val="left" w:pos="3888"/>
        <w:tab w:val="left" w:pos="5040"/>
      </w:tabs>
      <w:ind w:firstLine="1418"/>
      <w:jc w:val="both"/>
    </w:pPr>
    <w:rPr>
      <w:rFonts w:ascii="Arial" w:hAnsi="Arial"/>
      <w:b/>
      <w:sz w:val="24"/>
    </w:rPr>
  </w:style>
  <w:style w:type="paragraph" w:styleId="Textoindependiente">
    <w:name w:val="Body Text"/>
    <w:basedOn w:val="Normal"/>
    <w:link w:val="TextoindependienteCar"/>
    <w:pPr>
      <w:widowControl w:val="0"/>
      <w:tabs>
        <w:tab w:val="left" w:pos="1440"/>
        <w:tab w:val="left" w:pos="3600"/>
        <w:tab w:val="left" w:pos="3888"/>
        <w:tab w:val="left" w:pos="5040"/>
      </w:tabs>
      <w:jc w:val="both"/>
    </w:pPr>
    <w:rPr>
      <w:rFonts w:ascii="Arial" w:hAnsi="Arial"/>
      <w:sz w:val="24"/>
    </w:rPr>
  </w:style>
  <w:style w:type="paragraph" w:styleId="Sangra2detindependiente">
    <w:name w:val="Body Text Indent 2"/>
    <w:basedOn w:val="Normal"/>
    <w:link w:val="Sangra2detindependienteCar"/>
    <w:rsid w:val="00807AC4"/>
    <w:pPr>
      <w:spacing w:after="120" w:line="480" w:lineRule="auto"/>
      <w:ind w:left="283"/>
    </w:pPr>
  </w:style>
  <w:style w:type="character" w:customStyle="1" w:styleId="Sangra2detindependienteCar">
    <w:name w:val="Sangría 2 de t. independiente Car"/>
    <w:link w:val="Sangra2detindependiente"/>
    <w:rsid w:val="00807AC4"/>
    <w:rPr>
      <w:snapToGrid/>
      <w:lang w:val="en-US" w:eastAsia="es-ES"/>
    </w:rPr>
  </w:style>
  <w:style w:type="character" w:customStyle="1" w:styleId="TextoindependienteCar">
    <w:name w:val="Texto independiente Car"/>
    <w:link w:val="Textoindependiente"/>
    <w:rsid w:val="004B6AC6"/>
    <w:rPr>
      <w:rFonts w:ascii="Arial" w:hAnsi="Arial"/>
      <w:snapToGrid/>
      <w:sz w:val="24"/>
      <w:lang w:val="en-US" w:eastAsia="es-ES"/>
    </w:rPr>
  </w:style>
  <w:style w:type="character" w:customStyle="1" w:styleId="Ttulo4Car">
    <w:name w:val="Título 4 Car"/>
    <w:link w:val="Ttulo4"/>
    <w:semiHidden/>
    <w:rsid w:val="00BF676B"/>
    <w:rPr>
      <w:rFonts w:ascii="Calibri" w:eastAsia="Times New Roman" w:hAnsi="Calibri" w:cs="Times New Roman"/>
      <w:b/>
      <w:bCs/>
      <w:snapToGrid/>
      <w:sz w:val="28"/>
      <w:szCs w:val="28"/>
      <w:lang w:val="en-US"/>
    </w:rPr>
  </w:style>
  <w:style w:type="character" w:customStyle="1" w:styleId="Ttulo5Car">
    <w:name w:val="Título 5 Car"/>
    <w:link w:val="Ttulo5"/>
    <w:semiHidden/>
    <w:rsid w:val="00BF676B"/>
    <w:rPr>
      <w:rFonts w:ascii="Calibri" w:eastAsia="Times New Roman" w:hAnsi="Calibri" w:cs="Times New Roman"/>
      <w:b/>
      <w:bCs/>
      <w:i/>
      <w:iCs/>
      <w:snapToGrid/>
      <w:sz w:val="26"/>
      <w:szCs w:val="26"/>
      <w:lang w:val="en-US"/>
    </w:rPr>
  </w:style>
  <w:style w:type="paragraph" w:styleId="Textodeglobo">
    <w:name w:val="Balloon Text"/>
    <w:basedOn w:val="Normal"/>
    <w:link w:val="TextodegloboCar"/>
    <w:rsid w:val="00C80166"/>
    <w:rPr>
      <w:rFonts w:ascii="Tahoma" w:hAnsi="Tahoma" w:cs="Tahoma"/>
      <w:sz w:val="16"/>
      <w:szCs w:val="16"/>
    </w:rPr>
  </w:style>
  <w:style w:type="character" w:customStyle="1" w:styleId="TextodegloboCar">
    <w:name w:val="Texto de globo Car"/>
    <w:link w:val="Textodeglobo"/>
    <w:rsid w:val="00C80166"/>
    <w:rPr>
      <w:rFonts w:ascii="Tahoma" w:hAnsi="Tahoma" w:cs="Tahoma"/>
      <w:snapToGrid/>
      <w:sz w:val="16"/>
      <w:szCs w:val="16"/>
      <w:lang w:val="en-US"/>
    </w:rPr>
  </w:style>
</w:styles>
</file>

<file path=word/webSettings.xml><?xml version="1.0" encoding="utf-8"?>
<w:webSettings xmlns:r="http://schemas.openxmlformats.org/officeDocument/2006/relationships" xmlns:w="http://schemas.openxmlformats.org/wordprocessingml/2006/main">
  <w:divs>
    <w:div w:id="41636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215</Words>
  <Characters>1187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REGISTRADO BAJO N°  CDCC-000/97</vt:lpstr>
    </vt:vector>
  </TitlesOfParts>
  <Company/>
  <LinksUpToDate>false</LinksUpToDate>
  <CharactersWithSpaces>1400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CDCC-000/97</dc:title>
  <dc:subject/>
  <dc:creator>Dto. Ciencias de la Computaci</dc:creator>
  <cp:keywords/>
  <cp:lastModifiedBy>Keith</cp:lastModifiedBy>
  <cp:revision>2</cp:revision>
  <cp:lastPrinted>2015-07-14T13:55:00Z</cp:lastPrinted>
  <dcterms:created xsi:type="dcterms:W3CDTF">2025-07-06T19:58:00Z</dcterms:created>
  <dcterms:modified xsi:type="dcterms:W3CDTF">2025-07-06T19:58:00Z</dcterms:modified>
</cp:coreProperties>
</file>