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437E1F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1A54F1">
        <w:rPr>
          <w:rFonts w:ascii="Times New Roman" w:hAnsi="Times New Roman"/>
          <w:szCs w:val="24"/>
        </w:rPr>
        <w:t>106</w:t>
      </w:r>
      <w:r w:rsidRPr="00876BE5">
        <w:rPr>
          <w:rFonts w:ascii="Times New Roman" w:hAnsi="Times New Roman"/>
          <w:szCs w:val="24"/>
        </w:rPr>
        <w:t>/</w:t>
      </w:r>
      <w:r w:rsidR="000A6D17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1A54F1">
        <w:rPr>
          <w:rFonts w:ascii="Times New Roman" w:hAnsi="Times New Roman"/>
          <w:b/>
          <w:szCs w:val="24"/>
        </w:rPr>
        <w:t>644/13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2547" w:rsidRDefault="0047265A" w:rsidP="00022547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La asignatura Proyecto Final </w:t>
      </w:r>
      <w:r w:rsidR="004E3E7E">
        <w:rPr>
          <w:rFonts w:ascii="Times New Roman" w:hAnsi="Times New Roman"/>
          <w:szCs w:val="24"/>
          <w:lang w:val="es-ES"/>
        </w:rPr>
        <w:t xml:space="preserve">(Cód 7895) </w:t>
      </w:r>
      <w:r>
        <w:rPr>
          <w:rFonts w:ascii="Times New Roman" w:hAnsi="Times New Roman"/>
          <w:szCs w:val="24"/>
          <w:lang w:val="es-ES"/>
        </w:rPr>
        <w:t>que forma parte de la carrera Ingeniería en Sistemas de Información Plan de Estudios – Plan 2012</w:t>
      </w:r>
      <w:r w:rsidR="00022547">
        <w:rPr>
          <w:rFonts w:ascii="Times New Roman" w:hAnsi="Times New Roman"/>
          <w:szCs w:val="24"/>
          <w:lang w:val="es-ES"/>
        </w:rPr>
        <w:t xml:space="preserve">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Pr="0047265A" w:rsidRDefault="0047265A" w:rsidP="0047265A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Cs/>
          <w:szCs w:val="24"/>
          <w:lang w:val="es-ES"/>
        </w:rPr>
        <w:t xml:space="preserve">El pedido elevado por los Consejeros Departamentales del Claustro de Alumnos solicitando </w:t>
      </w:r>
      <w:r w:rsidRPr="0047265A">
        <w:rPr>
          <w:rFonts w:ascii="Times New Roman" w:hAnsi="Times New Roman"/>
          <w:bCs/>
          <w:szCs w:val="24"/>
          <w:lang w:val="es-ES"/>
        </w:rPr>
        <w:t xml:space="preserve">una excepción </w:t>
      </w:r>
      <w:r w:rsidR="002B3DE9">
        <w:rPr>
          <w:rFonts w:ascii="Times New Roman" w:hAnsi="Times New Roman"/>
          <w:bCs/>
          <w:szCs w:val="24"/>
          <w:lang w:val="es-ES"/>
        </w:rPr>
        <w:t xml:space="preserve">general </w:t>
      </w:r>
      <w:r w:rsidRPr="0047265A">
        <w:rPr>
          <w:rFonts w:ascii="Times New Roman" w:hAnsi="Times New Roman"/>
          <w:bCs/>
          <w:szCs w:val="24"/>
          <w:lang w:val="es-ES"/>
        </w:rPr>
        <w:t>para</w:t>
      </w:r>
      <w:r>
        <w:rPr>
          <w:rFonts w:ascii="Times New Roman" w:hAnsi="Times New Roman"/>
          <w:bCs/>
          <w:szCs w:val="24"/>
          <w:lang w:val="es-ES"/>
        </w:rPr>
        <w:t xml:space="preserve"> que los alumnos de </w:t>
      </w:r>
      <w:r w:rsidR="002B3DE9">
        <w:rPr>
          <w:rFonts w:ascii="Times New Roman" w:hAnsi="Times New Roman"/>
          <w:bCs/>
          <w:szCs w:val="24"/>
          <w:lang w:val="es-ES"/>
        </w:rPr>
        <w:t>la mencionada</w:t>
      </w:r>
      <w:r>
        <w:rPr>
          <w:rFonts w:ascii="Times New Roman" w:hAnsi="Times New Roman"/>
          <w:bCs/>
          <w:szCs w:val="24"/>
          <w:lang w:val="es-ES"/>
        </w:rPr>
        <w:t xml:space="preserve"> carrera puedan</w:t>
      </w:r>
      <w:r w:rsidRPr="0047265A">
        <w:rPr>
          <w:rFonts w:ascii="Times New Roman" w:hAnsi="Times New Roman"/>
          <w:bCs/>
          <w:szCs w:val="24"/>
          <w:lang w:val="es-ES"/>
        </w:rPr>
        <w:t xml:space="preserve"> rendir </w:t>
      </w:r>
      <w:r w:rsidR="004E3E7E">
        <w:rPr>
          <w:rFonts w:ascii="Times New Roman" w:hAnsi="Times New Roman"/>
          <w:bCs/>
          <w:szCs w:val="24"/>
          <w:lang w:val="es-ES"/>
        </w:rPr>
        <w:t xml:space="preserve">dicha asignatura sin cumplir con los requisitos establecidos en </w:t>
      </w:r>
      <w:r w:rsidR="002B3DE9">
        <w:rPr>
          <w:rFonts w:ascii="Times New Roman" w:hAnsi="Times New Roman"/>
          <w:bCs/>
          <w:szCs w:val="24"/>
          <w:lang w:val="es-ES"/>
        </w:rPr>
        <w:t>su</w:t>
      </w:r>
      <w:r w:rsidR="004E3E7E">
        <w:rPr>
          <w:rFonts w:ascii="Times New Roman" w:hAnsi="Times New Roman"/>
          <w:bCs/>
          <w:szCs w:val="24"/>
          <w:lang w:val="es-ES"/>
        </w:rPr>
        <w:t xml:space="preserve"> Plan de Estudios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="00FF72E5"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47265A" w:rsidRDefault="0047265A" w:rsidP="0047265A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47265A">
        <w:rPr>
          <w:rFonts w:ascii="Times New Roman" w:hAnsi="Times New Roman"/>
          <w:bCs/>
          <w:lang w:val="es-ES"/>
        </w:rPr>
        <w:t>Que la Comisión Curricular de la Ingeniería en Computación</w:t>
      </w:r>
      <w:r>
        <w:rPr>
          <w:rFonts w:ascii="Times New Roman" w:hAnsi="Times New Roman"/>
          <w:bCs/>
          <w:lang w:val="es-ES"/>
        </w:rPr>
        <w:t>, luego de analizar el pedido presentado</w:t>
      </w:r>
      <w:r w:rsidR="004E3E7E">
        <w:rPr>
          <w:rFonts w:ascii="Times New Roman" w:hAnsi="Times New Roman"/>
          <w:bCs/>
          <w:lang w:val="es-ES"/>
        </w:rPr>
        <w:t xml:space="preserve">, recomendó </w:t>
      </w:r>
      <w:r w:rsidR="002B3DE9">
        <w:rPr>
          <w:rFonts w:ascii="Times New Roman" w:hAnsi="Times New Roman"/>
          <w:bCs/>
          <w:lang w:val="es-ES"/>
        </w:rPr>
        <w:t xml:space="preserve">avalar lo solicitado e incorporar </w:t>
      </w:r>
      <w:r w:rsidR="004E3E7E">
        <w:rPr>
          <w:rFonts w:ascii="Times New Roman" w:hAnsi="Times New Roman"/>
          <w:bCs/>
          <w:lang w:val="es-ES"/>
        </w:rPr>
        <w:t xml:space="preserve">en su lugar la condición de contar con todas las materias hasta tercer año aprobadas y las materias de cuarto año aprobadas; </w:t>
      </w:r>
    </w:p>
    <w:p w:rsidR="0047265A" w:rsidRPr="0047265A" w:rsidRDefault="0047265A" w:rsidP="004E3E7E">
      <w:pPr>
        <w:spacing w:line="260" w:lineRule="exact"/>
        <w:jc w:val="both"/>
        <w:rPr>
          <w:rFonts w:ascii="Times New Roman" w:hAnsi="Times New Roman"/>
          <w:bCs/>
          <w:lang w:val="es-AR"/>
        </w:rPr>
      </w:pPr>
    </w:p>
    <w:p w:rsidR="00975791" w:rsidRDefault="0047265A" w:rsidP="0047265A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47265A">
        <w:rPr>
          <w:rFonts w:ascii="Times New Roman" w:hAnsi="Times New Roman"/>
          <w:bCs/>
          <w:lang w:val="es-AR"/>
        </w:rPr>
        <w:t xml:space="preserve">Que los miembros del Consejo coinciden en la conveniencia de otorgar </w:t>
      </w:r>
      <w:r w:rsidR="002B3DE9">
        <w:rPr>
          <w:rFonts w:ascii="Times New Roman" w:hAnsi="Times New Roman"/>
          <w:bCs/>
          <w:lang w:val="es-AR"/>
        </w:rPr>
        <w:t>esta excepción</w:t>
      </w:r>
      <w:r w:rsidRPr="0047265A">
        <w:rPr>
          <w:rFonts w:ascii="Times New Roman" w:hAnsi="Times New Roman"/>
          <w:bCs/>
          <w:lang w:val="es-AR"/>
        </w:rPr>
        <w:t xml:space="preserve"> </w:t>
      </w:r>
      <w:r w:rsidR="002B3DE9">
        <w:rPr>
          <w:rFonts w:ascii="Times New Roman" w:hAnsi="Times New Roman"/>
          <w:bCs/>
          <w:lang w:val="es-AR"/>
        </w:rPr>
        <w:t>a fin de no entorpecer el avance y retrasar la graduación de los alumnos de la citada carrera</w:t>
      </w:r>
      <w:r w:rsidRPr="0047265A">
        <w:rPr>
          <w:rFonts w:ascii="Times New Roman" w:hAnsi="Times New Roman"/>
          <w:bCs/>
          <w:lang w:val="es-AR"/>
        </w:rPr>
        <w:t xml:space="preserve">; </w:t>
      </w:r>
      <w:r w:rsidRPr="0047265A">
        <w:rPr>
          <w:rFonts w:ascii="Times New Roman" w:hAnsi="Times New Roman"/>
          <w:bCs/>
          <w:lang w:val="es-ES"/>
        </w:rPr>
        <w:tab/>
      </w:r>
      <w:r w:rsidR="00975791">
        <w:rPr>
          <w:rFonts w:ascii="Times New Roman" w:hAnsi="Times New Roman"/>
          <w:bCs/>
          <w:lang w:val="es-ES"/>
        </w:rPr>
        <w:t xml:space="preserve"> </w:t>
      </w:r>
    </w:p>
    <w:p w:rsidR="00975791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3706DE">
        <w:rPr>
          <w:rFonts w:ascii="Times New Roman" w:hAnsi="Times New Roman"/>
          <w:snapToGrid w:val="0"/>
          <w:lang w:val="es-AR" w:eastAsia="es-ES"/>
        </w:rPr>
        <w:t>imidad en su reunión de fecha 17 de mayo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</w:t>
      </w:r>
      <w:r w:rsidR="002B3DE9">
        <w:rPr>
          <w:rFonts w:ascii="Times New Roman" w:hAnsi="Times New Roman"/>
          <w:snapToGrid w:val="0"/>
          <w:lang w:val="es-AR" w:eastAsia="es-ES"/>
        </w:rPr>
        <w:t>propuesta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975791" w:rsidRPr="00975791" w:rsidRDefault="003C4EE8" w:rsidP="00975791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="002B3DE9">
        <w:rPr>
          <w:rFonts w:ascii="Times New Roman" w:hAnsi="Times New Roman"/>
          <w:lang w:val="es-AR"/>
        </w:rPr>
        <w:t xml:space="preserve">Otorgar una </w:t>
      </w:r>
      <w:r w:rsidR="002B3DE9" w:rsidRPr="002B3DE9">
        <w:rPr>
          <w:rFonts w:ascii="Times New Roman" w:hAnsi="Times New Roman"/>
          <w:i/>
          <w:lang w:val="es-AR"/>
        </w:rPr>
        <w:t>excepción general</w:t>
      </w:r>
      <w:r w:rsidR="002B3DE9">
        <w:rPr>
          <w:rFonts w:ascii="Times New Roman" w:hAnsi="Times New Roman"/>
          <w:lang w:val="es-AR"/>
        </w:rPr>
        <w:t xml:space="preserve"> para que los alumnos de la carrera Ingeniería en Sistemas de Información (Cod. 181) puedan rendir el Proyecto Final (Cód. 7895) sin haber aprobado previamente la</w:t>
      </w:r>
      <w:r w:rsidR="00C06009">
        <w:rPr>
          <w:rFonts w:ascii="Times New Roman" w:hAnsi="Times New Roman"/>
          <w:lang w:val="es-AR"/>
        </w:rPr>
        <w:t xml:space="preserve"> asignatura</w:t>
      </w:r>
      <w:r w:rsidR="002B3DE9">
        <w:rPr>
          <w:rFonts w:ascii="Times New Roman" w:hAnsi="Times New Roman"/>
          <w:lang w:val="es-AR"/>
        </w:rPr>
        <w:t xml:space="preserve"> Práctica Profesional Supervisada para Ingeniería de Software (Cód. 7886) y cumpliendo con el requisito de “Debe tener tercer año aprobado y cuarto año cursado</w:t>
      </w:r>
      <w:r w:rsidR="00D23E82">
        <w:rPr>
          <w:rFonts w:ascii="Times New Roman" w:hAnsi="Times New Roman"/>
          <w:lang w:val="es-AR"/>
        </w:rPr>
        <w:t xml:space="preserve">. Quedará a criterio del Profesor Director del Proyecto Final el requerir materias específicas”. </w:t>
      </w:r>
    </w:p>
    <w:p w:rsidR="00C04CB3" w:rsidRDefault="00C04CB3" w:rsidP="003C4EE8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75791" w:rsidRDefault="00975791" w:rsidP="00C04CB3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C04CB3" w:rsidRPr="00C06009" w:rsidRDefault="00C04CB3" w:rsidP="00C04CB3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 w:rsidRPr="00C06009">
        <w:rPr>
          <w:rFonts w:ascii="Times New Roman" w:hAnsi="Times New Roman"/>
          <w:lang w:val="es-AR"/>
        </w:rPr>
        <w:lastRenderedPageBreak/>
        <w:t>/</w:t>
      </w:r>
      <w:r w:rsidR="004749F1" w:rsidRPr="00C06009">
        <w:rPr>
          <w:rFonts w:ascii="Times New Roman" w:hAnsi="Times New Roman"/>
          <w:b/>
          <w:szCs w:val="24"/>
          <w:lang w:val="es-AR"/>
        </w:rPr>
        <w:t>//CDCIC-10</w:t>
      </w:r>
      <w:r w:rsidR="00C06009" w:rsidRPr="00C06009">
        <w:rPr>
          <w:rFonts w:ascii="Times New Roman" w:hAnsi="Times New Roman"/>
          <w:b/>
          <w:szCs w:val="24"/>
          <w:lang w:val="es-AR"/>
        </w:rPr>
        <w:t>7</w:t>
      </w:r>
      <w:r w:rsidRPr="00C06009">
        <w:rPr>
          <w:rFonts w:ascii="Times New Roman" w:hAnsi="Times New Roman"/>
          <w:b/>
          <w:szCs w:val="24"/>
          <w:lang w:val="es-AR"/>
        </w:rPr>
        <w:t>/22</w:t>
      </w:r>
    </w:p>
    <w:p w:rsidR="00FF72E5" w:rsidRPr="00C06009" w:rsidRDefault="00FF72E5" w:rsidP="00FF72E5">
      <w:pPr>
        <w:spacing w:line="260" w:lineRule="exact"/>
        <w:rPr>
          <w:rFonts w:ascii="Times New Roman" w:hAnsi="Times New Roman"/>
          <w:bCs/>
          <w:lang w:val="es-AR"/>
        </w:rPr>
      </w:pPr>
    </w:p>
    <w:p w:rsidR="00FF72E5" w:rsidRPr="00C06009" w:rsidRDefault="00FE0D2F" w:rsidP="00FE0D2F">
      <w:pPr>
        <w:spacing w:line="260" w:lineRule="exact"/>
        <w:jc w:val="both"/>
        <w:rPr>
          <w:rFonts w:ascii="Times New Roman" w:hAnsi="Times New Roman"/>
          <w:lang w:val="es-AR" w:eastAsia="es-ES"/>
        </w:rPr>
      </w:pPr>
      <w:r w:rsidRPr="00C06009">
        <w:rPr>
          <w:rFonts w:ascii="Times New Roman" w:hAnsi="Times New Roman"/>
          <w:b/>
          <w:szCs w:val="24"/>
          <w:lang w:val="es-AR"/>
        </w:rPr>
        <w:t>ARTICULO</w:t>
      </w:r>
      <w:r w:rsidR="00FF72E5" w:rsidRPr="00C06009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C06009">
        <w:rPr>
          <w:rFonts w:ascii="Times New Roman" w:hAnsi="Times New Roman"/>
          <w:b/>
          <w:szCs w:val="24"/>
          <w:lang w:val="es-AR"/>
        </w:rPr>
        <w:sym w:font="Symbol" w:char="F0B0"/>
      </w:r>
      <w:r w:rsidRPr="00C06009">
        <w:rPr>
          <w:rFonts w:ascii="Times New Roman" w:hAnsi="Times New Roman"/>
          <w:b/>
          <w:szCs w:val="24"/>
          <w:lang w:val="es-AR"/>
        </w:rPr>
        <w:t>:</w:t>
      </w:r>
      <w:r w:rsidR="00FF72E5" w:rsidRPr="00C06009">
        <w:rPr>
          <w:rFonts w:ascii="Times New Roman" w:hAnsi="Times New Roman"/>
          <w:szCs w:val="24"/>
          <w:lang w:val="es-AR"/>
        </w:rPr>
        <w:t xml:space="preserve"> </w:t>
      </w:r>
      <w:r w:rsidR="00C06009" w:rsidRPr="00C06009">
        <w:rPr>
          <w:rFonts w:ascii="Times New Roman" w:hAnsi="Times New Roman"/>
          <w:szCs w:val="24"/>
          <w:lang w:val="es-AR"/>
        </w:rPr>
        <w:t>Regístrese; comuníquese; pase a la Dirección General de Gestión Académica para su conocimiento y efectos que corresponda; cumplido,</w:t>
      </w:r>
      <w:r w:rsidR="00C06009">
        <w:rPr>
          <w:rFonts w:ascii="Times New Roman" w:hAnsi="Times New Roman"/>
          <w:szCs w:val="24"/>
          <w:lang w:val="es-AR"/>
        </w:rPr>
        <w:t xml:space="preserve"> </w:t>
      </w:r>
      <w:r w:rsidR="00C06009" w:rsidRPr="00C06009">
        <w:rPr>
          <w:rFonts w:ascii="Times New Roman" w:hAnsi="Times New Roman"/>
          <w:szCs w:val="24"/>
          <w:lang w:val="es-AR"/>
        </w:rPr>
        <w:t>archívese. --------------</w:t>
      </w:r>
    </w:p>
    <w:p w:rsidR="00CA14DC" w:rsidRPr="00C06009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AR" w:eastAsia="es-ES"/>
        </w:rPr>
      </w:pPr>
    </w:p>
    <w:sectPr w:rsidR="00CA14DC" w:rsidRPr="00C06009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22547"/>
    <w:rsid w:val="00042E82"/>
    <w:rsid w:val="00045B98"/>
    <w:rsid w:val="0007657C"/>
    <w:rsid w:val="000A2054"/>
    <w:rsid w:val="000A6D17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1A54F1"/>
    <w:rsid w:val="001D0A1D"/>
    <w:rsid w:val="0023652F"/>
    <w:rsid w:val="00240D50"/>
    <w:rsid w:val="00240F78"/>
    <w:rsid w:val="00241614"/>
    <w:rsid w:val="0024228B"/>
    <w:rsid w:val="002851BB"/>
    <w:rsid w:val="002B2B21"/>
    <w:rsid w:val="002B3DE9"/>
    <w:rsid w:val="002B4CE6"/>
    <w:rsid w:val="002B6729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06DE"/>
    <w:rsid w:val="00376DE6"/>
    <w:rsid w:val="00392691"/>
    <w:rsid w:val="003B5095"/>
    <w:rsid w:val="003C259F"/>
    <w:rsid w:val="003C4EE8"/>
    <w:rsid w:val="003E1443"/>
    <w:rsid w:val="003E1E47"/>
    <w:rsid w:val="003F39E0"/>
    <w:rsid w:val="00425F46"/>
    <w:rsid w:val="00434BFD"/>
    <w:rsid w:val="00437E1F"/>
    <w:rsid w:val="00442EA0"/>
    <w:rsid w:val="00453676"/>
    <w:rsid w:val="0047265A"/>
    <w:rsid w:val="004749F1"/>
    <w:rsid w:val="0049240E"/>
    <w:rsid w:val="004C115A"/>
    <w:rsid w:val="004E158A"/>
    <w:rsid w:val="004E3E7E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75791"/>
    <w:rsid w:val="009874F4"/>
    <w:rsid w:val="009876CE"/>
    <w:rsid w:val="009A3481"/>
    <w:rsid w:val="009B6D3C"/>
    <w:rsid w:val="009C3D3E"/>
    <w:rsid w:val="009F2BB5"/>
    <w:rsid w:val="00A072FE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04CB3"/>
    <w:rsid w:val="00C06009"/>
    <w:rsid w:val="00C134E6"/>
    <w:rsid w:val="00C55EEA"/>
    <w:rsid w:val="00C564A8"/>
    <w:rsid w:val="00C70EDE"/>
    <w:rsid w:val="00CA14DC"/>
    <w:rsid w:val="00D23E82"/>
    <w:rsid w:val="00D31F4D"/>
    <w:rsid w:val="00DC6F4B"/>
    <w:rsid w:val="00DE0D69"/>
    <w:rsid w:val="00DE3FEB"/>
    <w:rsid w:val="00E22754"/>
    <w:rsid w:val="00E37E2F"/>
    <w:rsid w:val="00E43259"/>
    <w:rsid w:val="00E43D23"/>
    <w:rsid w:val="00E623BE"/>
    <w:rsid w:val="00E71CB5"/>
    <w:rsid w:val="00E95001"/>
    <w:rsid w:val="00EC16CF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2025-07-06T19:59:00Z</dcterms:created>
  <dcterms:modified xsi:type="dcterms:W3CDTF">2025-07-06T19:59:00Z</dcterms:modified>
</cp:coreProperties>
</file>