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AC" w:rsidRPr="008C3ABB" w:rsidRDefault="00A01A9B" w:rsidP="00D42AAC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</w:t>
      </w:r>
      <w:r w:rsidR="00D42AAC" w:rsidRPr="008C3ABB">
        <w:rPr>
          <w:rFonts w:eastAsia="Arial"/>
          <w:b/>
          <w:lang w:val="es-AR" w:eastAsia="es-AR"/>
        </w:rPr>
        <w:t>REGISTRADO BAJO CDCIC-</w:t>
      </w:r>
      <w:r w:rsidR="004C7BB1">
        <w:rPr>
          <w:rFonts w:eastAsia="Arial"/>
          <w:b/>
          <w:lang w:val="es-AR" w:eastAsia="es-AR"/>
        </w:rPr>
        <w:t>261</w:t>
      </w:r>
      <w:r w:rsidR="00D42AAC">
        <w:rPr>
          <w:rFonts w:eastAsia="Arial"/>
          <w:b/>
          <w:lang w:val="es-AR" w:eastAsia="es-AR"/>
        </w:rPr>
        <w:t>/</w:t>
      </w:r>
      <w:r w:rsidR="00D42AAC" w:rsidRPr="008C3ABB">
        <w:rPr>
          <w:rFonts w:eastAsia="Arial"/>
          <w:b/>
          <w:lang w:val="es-AR" w:eastAsia="es-AR"/>
        </w:rPr>
        <w:t>2</w:t>
      </w:r>
      <w:r w:rsidR="00D42AAC">
        <w:rPr>
          <w:rFonts w:eastAsia="Arial"/>
          <w:b/>
          <w:lang w:val="es-AR" w:eastAsia="es-AR"/>
        </w:rPr>
        <w:t>4</w:t>
      </w:r>
    </w:p>
    <w:p w:rsidR="00D42AAC" w:rsidRPr="008C3ABB" w:rsidRDefault="004C7BB1" w:rsidP="00D42AAC">
      <w:pPr>
        <w:spacing w:after="160" w:line="256" w:lineRule="auto"/>
        <w:ind w:firstLine="3402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</w:t>
      </w:r>
      <w:r w:rsidR="00D42AAC" w:rsidRPr="008C3ABB">
        <w:rPr>
          <w:rFonts w:eastAsia="Arial"/>
          <w:b/>
          <w:lang w:val="es-AR" w:eastAsia="es-AR"/>
        </w:rPr>
        <w:t>BAHIA BLANCA,</w:t>
      </w:r>
      <w:r w:rsidR="00D42AAC">
        <w:rPr>
          <w:rFonts w:eastAsia="Arial"/>
          <w:b/>
          <w:lang w:val="es-AR" w:eastAsia="es-AR"/>
        </w:rPr>
        <w:t xml:space="preserve"> 01</w:t>
      </w:r>
      <w:r w:rsidR="00D42AAC" w:rsidRPr="008C3ABB">
        <w:rPr>
          <w:rFonts w:eastAsia="Arial"/>
          <w:b/>
          <w:lang w:val="es-AR" w:eastAsia="es-AR"/>
        </w:rPr>
        <w:t xml:space="preserve"> de </w:t>
      </w:r>
      <w:proofErr w:type="gramStart"/>
      <w:r w:rsidR="00D42AAC">
        <w:rPr>
          <w:rFonts w:eastAsia="Arial"/>
          <w:b/>
          <w:lang w:val="es-AR" w:eastAsia="es-AR"/>
        </w:rPr>
        <w:t>Octubre</w:t>
      </w:r>
      <w:proofErr w:type="gramEnd"/>
      <w:r w:rsidR="00D42AAC">
        <w:rPr>
          <w:rFonts w:eastAsia="Arial"/>
          <w:b/>
          <w:lang w:val="es-AR" w:eastAsia="es-AR"/>
        </w:rPr>
        <w:t xml:space="preserve"> </w:t>
      </w:r>
      <w:r w:rsidR="00D42AAC" w:rsidRPr="008C3ABB">
        <w:rPr>
          <w:rFonts w:eastAsia="Arial"/>
          <w:b/>
          <w:lang w:val="es-AR" w:eastAsia="es-AR"/>
        </w:rPr>
        <w:t>202</w:t>
      </w:r>
      <w:r w:rsidR="00D42AAC">
        <w:rPr>
          <w:rFonts w:eastAsia="Arial"/>
          <w:b/>
          <w:lang w:val="es-AR" w:eastAsia="es-AR"/>
        </w:rPr>
        <w:t>4</w:t>
      </w:r>
    </w:p>
    <w:p w:rsidR="00DD1B65" w:rsidRDefault="00DD1B65" w:rsidP="00D42AAC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D42AAC" w:rsidRDefault="00D42AAC" w:rsidP="00D42AAC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  <w:r w:rsidRPr="008C3ABB">
        <w:rPr>
          <w:rFonts w:eastAsia="Arial"/>
          <w:lang w:val="es-AR" w:eastAsia="es-AR"/>
        </w:rPr>
        <w:t xml:space="preserve">        </w:t>
      </w:r>
    </w:p>
    <w:p w:rsidR="00D42AAC" w:rsidRPr="00167962" w:rsidRDefault="00D42AAC" w:rsidP="00D42AAC">
      <w:pPr>
        <w:pStyle w:val="Sangradetextonormal"/>
        <w:ind w:firstLine="851"/>
        <w:rPr>
          <w:rFonts w:ascii="Times New Roman" w:hAnsi="Times New Roman"/>
          <w:szCs w:val="24"/>
        </w:rPr>
      </w:pPr>
      <w:r w:rsidRPr="00167962">
        <w:rPr>
          <w:rFonts w:ascii="Times New Roman" w:hAnsi="Times New Roman"/>
          <w:szCs w:val="24"/>
        </w:rPr>
        <w:t xml:space="preserve">El </w:t>
      </w:r>
      <w:proofErr w:type="spellStart"/>
      <w:r w:rsidRPr="00167962">
        <w:rPr>
          <w:rFonts w:ascii="Times New Roman" w:hAnsi="Times New Roman"/>
          <w:szCs w:val="24"/>
        </w:rPr>
        <w:t>Exp</w:t>
      </w:r>
      <w:proofErr w:type="spellEnd"/>
      <w:r w:rsidRPr="00167962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N </w:t>
      </w:r>
      <w:r w:rsidR="00BE3BD8">
        <w:rPr>
          <w:rFonts w:ascii="Times New Roman" w:hAnsi="Times New Roman"/>
          <w:szCs w:val="24"/>
        </w:rPr>
        <w:t>3292</w:t>
      </w:r>
      <w:r w:rsidRPr="00167962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2024</w:t>
      </w:r>
      <w:r w:rsidRPr="00167962">
        <w:rPr>
          <w:rFonts w:ascii="Times New Roman" w:hAnsi="Times New Roman"/>
          <w:szCs w:val="24"/>
        </w:rPr>
        <w:t xml:space="preserve"> mediante el cual se tramita la equivalencia de las asignaturas aprobadas por el alumno de Grado </w:t>
      </w:r>
      <w:r>
        <w:rPr>
          <w:rFonts w:ascii="Times New Roman" w:hAnsi="Times New Roman"/>
          <w:szCs w:val="24"/>
        </w:rPr>
        <w:t>Gonzalo Alfredo Aguirre</w:t>
      </w:r>
      <w:r w:rsidRPr="00167962">
        <w:rPr>
          <w:rFonts w:ascii="Times New Roman" w:hAnsi="Times New Roman"/>
          <w:szCs w:val="24"/>
        </w:rPr>
        <w:t xml:space="preserve"> (LU.</w:t>
      </w:r>
      <w:r w:rsidR="004C7BB1">
        <w:rPr>
          <w:rFonts w:ascii="Times New Roman" w:hAnsi="Times New Roman"/>
          <w:szCs w:val="24"/>
        </w:rPr>
        <w:t>125887</w:t>
      </w:r>
      <w:r w:rsidRPr="00167962">
        <w:rPr>
          <w:rFonts w:ascii="Times New Roman" w:hAnsi="Times New Roman"/>
          <w:szCs w:val="24"/>
        </w:rPr>
        <w:t>) en la Universidad</w:t>
      </w:r>
      <w:r>
        <w:rPr>
          <w:rFonts w:ascii="Times New Roman" w:hAnsi="Times New Roman"/>
          <w:szCs w:val="24"/>
        </w:rPr>
        <w:t xml:space="preserve"> </w:t>
      </w:r>
      <w:r w:rsidRPr="00D42AAC">
        <w:rPr>
          <w:rFonts w:ascii="Times New Roman" w:hAnsi="Times New Roman"/>
          <w:szCs w:val="24"/>
          <w:lang w:val="en-US"/>
        </w:rPr>
        <w:t xml:space="preserve">Federal de </w:t>
      </w:r>
      <w:proofErr w:type="spellStart"/>
      <w:r w:rsidRPr="00D42AAC">
        <w:rPr>
          <w:rFonts w:ascii="Times New Roman" w:hAnsi="Times New Roman"/>
          <w:szCs w:val="24"/>
          <w:lang w:val="en-US"/>
        </w:rPr>
        <w:t>Goi</w:t>
      </w:r>
      <w:r w:rsidR="0028017E">
        <w:rPr>
          <w:rFonts w:ascii="Times New Roman" w:hAnsi="Times New Roman"/>
          <w:szCs w:val="24"/>
          <w:lang w:val="en-US"/>
        </w:rPr>
        <w:t>á</w:t>
      </w:r>
      <w:r w:rsidRPr="00D42AAC">
        <w:rPr>
          <w:rFonts w:ascii="Times New Roman" w:hAnsi="Times New Roman"/>
          <w:szCs w:val="24"/>
          <w:lang w:val="en-US"/>
        </w:rPr>
        <w:t>s</w:t>
      </w:r>
      <w:proofErr w:type="spellEnd"/>
      <w:r w:rsidRPr="00D42AAC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 xml:space="preserve">de Brasil </w:t>
      </w:r>
      <w:r w:rsidRPr="00167962">
        <w:rPr>
          <w:rFonts w:ascii="Times New Roman" w:hAnsi="Times New Roman"/>
          <w:szCs w:val="24"/>
        </w:rPr>
        <w:t xml:space="preserve">en el marco del Programa </w:t>
      </w:r>
      <w:r>
        <w:rPr>
          <w:rFonts w:ascii="Times New Roman" w:hAnsi="Times New Roman"/>
          <w:szCs w:val="24"/>
        </w:rPr>
        <w:t xml:space="preserve">AUGM, </w:t>
      </w:r>
      <w:r w:rsidR="0028017E">
        <w:rPr>
          <w:rFonts w:ascii="Times New Roman" w:hAnsi="Times New Roman"/>
          <w:szCs w:val="24"/>
        </w:rPr>
        <w:t>Universidad Federal de Goiás (Brasil)</w:t>
      </w:r>
      <w:r>
        <w:rPr>
          <w:rFonts w:ascii="Times New Roman" w:hAnsi="Times New Roman"/>
          <w:szCs w:val="24"/>
        </w:rPr>
        <w:t xml:space="preserve">; </w:t>
      </w:r>
      <w:r w:rsidRPr="00167962">
        <w:rPr>
          <w:rFonts w:ascii="Times New Roman" w:hAnsi="Times New Roman"/>
          <w:szCs w:val="24"/>
        </w:rPr>
        <w:t xml:space="preserve"> </w:t>
      </w:r>
    </w:p>
    <w:p w:rsidR="00D42AAC" w:rsidRDefault="00D42AAC" w:rsidP="00D42AAC">
      <w:pPr>
        <w:ind w:firstLine="851"/>
        <w:rPr>
          <w:lang w:val="es-AR"/>
        </w:rPr>
      </w:pPr>
    </w:p>
    <w:p w:rsidR="00DD1B65" w:rsidRPr="00167962" w:rsidRDefault="00DD1B65" w:rsidP="00D42AAC">
      <w:pPr>
        <w:ind w:firstLine="851"/>
        <w:rPr>
          <w:lang w:val="es-AR"/>
        </w:rPr>
      </w:pPr>
    </w:p>
    <w:p w:rsidR="00D42AAC" w:rsidRPr="00167962" w:rsidRDefault="00D42AAC" w:rsidP="00D42AAC">
      <w:pPr>
        <w:rPr>
          <w:b/>
          <w:lang w:val="es-AR"/>
        </w:rPr>
      </w:pPr>
      <w:r w:rsidRPr="00167962">
        <w:rPr>
          <w:b/>
          <w:lang w:val="es-AR"/>
        </w:rPr>
        <w:t>Y CONSIDERANDO:</w:t>
      </w:r>
    </w:p>
    <w:p w:rsidR="00D42AAC" w:rsidRPr="00167962" w:rsidRDefault="00D42AAC" w:rsidP="00D42AAC">
      <w:pPr>
        <w:rPr>
          <w:lang w:val="es-AR"/>
        </w:rPr>
      </w:pPr>
    </w:p>
    <w:p w:rsidR="00D42AAC" w:rsidRPr="00167962" w:rsidRDefault="00D42AAC" w:rsidP="00D42AAC">
      <w:pPr>
        <w:ind w:firstLine="851"/>
        <w:rPr>
          <w:lang w:val="es-AR"/>
        </w:rPr>
      </w:pPr>
      <w:r w:rsidRPr="00167962">
        <w:rPr>
          <w:lang w:val="es-AR"/>
        </w:rPr>
        <w:t xml:space="preserve">Que la Resolución CSU-370/13 reglamenta el reconocimiento de equivalencias de asignaturas curriculares, optativas y prácticas de grado realizadas por alumnos de la UNS en otras instituciones de educación superior en el exterior con convenio vigente o por programa de movilidad; </w:t>
      </w:r>
    </w:p>
    <w:p w:rsidR="00D42AAC" w:rsidRPr="00167962" w:rsidRDefault="00D42AAC" w:rsidP="00D42AAC">
      <w:pPr>
        <w:ind w:firstLine="851"/>
        <w:rPr>
          <w:lang w:val="es-AR"/>
        </w:rPr>
      </w:pPr>
    </w:p>
    <w:p w:rsidR="00D42AAC" w:rsidRDefault="00D42AAC" w:rsidP="00D42AAC">
      <w:pPr>
        <w:ind w:firstLine="851"/>
        <w:rPr>
          <w:lang w:val="es-ES"/>
        </w:rPr>
      </w:pPr>
      <w:r w:rsidRPr="00167962">
        <w:rPr>
          <w:lang w:val="es-AR"/>
        </w:rPr>
        <w:t>Que mediante Resolución CSU-727/15 se establece la metodología de conversión de calificaciones obtenidas en una Institución de Destino al Sistema de Calificaciones de la UNS</w:t>
      </w:r>
      <w:r w:rsidRPr="00167962">
        <w:rPr>
          <w:lang w:val="es-ES"/>
        </w:rPr>
        <w:t xml:space="preserve">; </w:t>
      </w:r>
    </w:p>
    <w:p w:rsidR="00D42AAC" w:rsidRDefault="00D42AAC" w:rsidP="00D42AAC">
      <w:pPr>
        <w:ind w:firstLine="851"/>
        <w:rPr>
          <w:lang w:val="es-ES"/>
        </w:rPr>
      </w:pPr>
    </w:p>
    <w:p w:rsidR="00D42AAC" w:rsidRDefault="00D42AAC" w:rsidP="00D42AAC">
      <w:pPr>
        <w:ind w:firstLine="851"/>
        <w:rPr>
          <w:lang w:val="es-AR"/>
        </w:rPr>
      </w:pPr>
      <w:r w:rsidRPr="00167962">
        <w:rPr>
          <w:lang w:val="es-AR"/>
        </w:rPr>
        <w:t xml:space="preserve">Que el Consejo Departamental aprobó en su reunión ordinaria de fecha </w:t>
      </w:r>
      <w:r>
        <w:rPr>
          <w:lang w:val="es-AR"/>
        </w:rPr>
        <w:t>01</w:t>
      </w:r>
      <w:r w:rsidRPr="00167962">
        <w:rPr>
          <w:lang w:val="es-AR"/>
        </w:rPr>
        <w:t xml:space="preserve"> de </w:t>
      </w:r>
      <w:r>
        <w:rPr>
          <w:lang w:val="es-AR"/>
        </w:rPr>
        <w:t>octubre</w:t>
      </w:r>
      <w:r w:rsidRPr="00167962">
        <w:rPr>
          <w:lang w:val="es-AR"/>
        </w:rPr>
        <w:t xml:space="preserve"> 202</w:t>
      </w:r>
      <w:r>
        <w:rPr>
          <w:lang w:val="es-AR"/>
        </w:rPr>
        <w:t>4 lo aconsejado por la Comisión de asuntos Académicos;</w:t>
      </w: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P</w:t>
      </w:r>
      <w:r>
        <w:rPr>
          <w:b/>
          <w:color w:val="000000"/>
          <w:lang w:val="es-AR"/>
        </w:rPr>
        <w:t>OR ELLO</w:t>
      </w:r>
      <w:r w:rsidRPr="00167962">
        <w:rPr>
          <w:b/>
          <w:color w:val="000000"/>
          <w:lang w:val="es-AR"/>
        </w:rPr>
        <w:t>,</w:t>
      </w: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ab/>
      </w: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E</w:t>
      </w:r>
      <w:r>
        <w:rPr>
          <w:b/>
          <w:color w:val="000000"/>
          <w:lang w:val="es-AR"/>
        </w:rPr>
        <w:t>L CONSEJO DEPARTAMENTAL DE CIENCIAS E INGENIERÍA DE LA COMPUTACIÓN</w:t>
      </w:r>
    </w:p>
    <w:p w:rsidR="00D42AAC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:rsidR="00D42AAC" w:rsidRPr="00167962" w:rsidRDefault="00D42AAC" w:rsidP="00D42A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</w:t>
      </w:r>
      <w:r w:rsidRPr="00167962">
        <w:rPr>
          <w:b/>
          <w:color w:val="000000"/>
          <w:lang w:val="pt-BR"/>
        </w:rPr>
        <w:t>:</w:t>
      </w:r>
    </w:p>
    <w:p w:rsidR="00D42AAC" w:rsidRPr="00167962" w:rsidRDefault="00D42AAC" w:rsidP="00D42AAC">
      <w:pPr>
        <w:tabs>
          <w:tab w:val="left" w:pos="993"/>
        </w:tabs>
        <w:rPr>
          <w:color w:val="000000"/>
          <w:lang w:val="pt-BR"/>
        </w:rPr>
      </w:pPr>
    </w:p>
    <w:p w:rsidR="00A01A9B" w:rsidRDefault="00D42AAC" w:rsidP="00A01A9B">
      <w:pPr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167962">
        <w:rPr>
          <w:b/>
          <w:lang w:val="es-ES"/>
        </w:rPr>
        <w:t xml:space="preserve"> 1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Otorgar al alumno </w:t>
      </w:r>
      <w:r>
        <w:rPr>
          <w:lang w:val="es-ES"/>
        </w:rPr>
        <w:t xml:space="preserve">Gonzalo Alfredo AGUIRRE </w:t>
      </w:r>
      <w:r w:rsidRPr="00167962">
        <w:rPr>
          <w:lang w:val="es-ES"/>
        </w:rPr>
        <w:t>(LU.</w:t>
      </w:r>
      <w:r>
        <w:rPr>
          <w:lang w:val="es-ES"/>
        </w:rPr>
        <w:t>12</w:t>
      </w:r>
      <w:r w:rsidR="004C7BB1">
        <w:rPr>
          <w:lang w:val="es-ES"/>
        </w:rPr>
        <w:t>5887</w:t>
      </w:r>
      <w:r w:rsidRPr="00167962">
        <w:rPr>
          <w:lang w:val="es-ES"/>
        </w:rPr>
        <w:t>) la siguiente equivalencia:</w:t>
      </w:r>
    </w:p>
    <w:p w:rsidR="00A01A9B" w:rsidRDefault="00A01A9B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DD1B65" w:rsidRDefault="004C7BB1" w:rsidP="00A01A9B">
      <w:pPr>
        <w:rPr>
          <w:b/>
          <w:lang w:val="es-ES"/>
        </w:rPr>
      </w:pPr>
      <w:r>
        <w:rPr>
          <w:b/>
          <w:lang w:val="es-ES"/>
        </w:rPr>
        <w:lastRenderedPageBreak/>
        <w:t>///C</w:t>
      </w:r>
      <w:r w:rsidR="00A01A9B">
        <w:rPr>
          <w:b/>
          <w:lang w:val="es-ES"/>
        </w:rPr>
        <w:t>DCIC</w:t>
      </w:r>
      <w:r>
        <w:rPr>
          <w:b/>
          <w:lang w:val="es-ES"/>
        </w:rPr>
        <w:t>-261/</w:t>
      </w:r>
      <w:r w:rsidR="00A01A9B">
        <w:rPr>
          <w:b/>
          <w:lang w:val="es-ES"/>
        </w:rPr>
        <w:t>24</w:t>
      </w:r>
    </w:p>
    <w:p w:rsidR="004C7BB1" w:rsidRDefault="004C7BB1" w:rsidP="00A01A9B">
      <w:pPr>
        <w:rPr>
          <w:b/>
          <w:lang w:val="es-ES"/>
        </w:rPr>
      </w:pPr>
    </w:p>
    <w:tbl>
      <w:tblPr>
        <w:tblpPr w:leftFromText="141" w:rightFromText="141" w:vertAnchor="text" w:horzAnchor="margin" w:tblpXSpec="center" w:tblpY="473"/>
        <w:tblW w:w="9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281"/>
        <w:gridCol w:w="813"/>
        <w:gridCol w:w="1472"/>
        <w:gridCol w:w="1265"/>
        <w:gridCol w:w="1772"/>
        <w:gridCol w:w="1362"/>
      </w:tblGrid>
      <w:tr w:rsidR="00455685" w:rsidRPr="006E38B1" w:rsidTr="00E819E5">
        <w:trPr>
          <w:trHeight w:val="55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 xml:space="preserve">Universidad </w:t>
            </w:r>
            <w:r>
              <w:rPr>
                <w:b/>
                <w:color w:val="000000"/>
                <w:lang w:val="es-AR" w:eastAsia="es-AR"/>
              </w:rPr>
              <w:t>Federal de Goiás</w:t>
            </w:r>
          </w:p>
        </w:tc>
        <w:tc>
          <w:tcPr>
            <w:tcW w:w="35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5685" w:rsidRPr="006E38B1" w:rsidRDefault="00455685" w:rsidP="00D0367A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5685" w:rsidRPr="006E38B1" w:rsidRDefault="00455685" w:rsidP="00D0367A">
            <w:pPr>
              <w:ind w:right="1548"/>
              <w:jc w:val="right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UNS</w:t>
            </w:r>
          </w:p>
        </w:tc>
      </w:tr>
      <w:tr w:rsidR="00455685" w:rsidRPr="006E38B1" w:rsidTr="00E819E5">
        <w:trPr>
          <w:trHeight w:val="315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5685" w:rsidRPr="006E38B1" w:rsidRDefault="00455685" w:rsidP="00D0367A">
            <w:pPr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 xml:space="preserve">                  </w:t>
            </w:r>
            <w:r w:rsidRPr="006E38B1">
              <w:rPr>
                <w:b/>
                <w:color w:val="000000"/>
                <w:lang w:val="es-AR" w:eastAsia="es-AR"/>
              </w:rPr>
              <w:t>(</w:t>
            </w:r>
            <w:r>
              <w:rPr>
                <w:b/>
                <w:color w:val="000000"/>
                <w:lang w:val="es-AR" w:eastAsia="es-AR"/>
              </w:rPr>
              <w:t>Brasil</w:t>
            </w:r>
            <w:r w:rsidRPr="006E38B1">
              <w:rPr>
                <w:b/>
                <w:color w:val="000000"/>
                <w:lang w:val="es-AR" w:eastAsia="es-AR"/>
              </w:rPr>
              <w:t>)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  <w:lang w:val="es-AR" w:eastAsia="es-AR"/>
              </w:rPr>
              <w:t>Extracurricular</w:t>
            </w:r>
          </w:p>
        </w:tc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5685" w:rsidRPr="006E38B1" w:rsidRDefault="00455685" w:rsidP="00D0367A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 xml:space="preserve">Ingeniería en Sistemas de </w:t>
            </w:r>
            <w:r>
              <w:rPr>
                <w:b/>
                <w:color w:val="000000"/>
                <w:lang w:val="es-AR" w:eastAsia="es-AR"/>
              </w:rPr>
              <w:t>Computación</w:t>
            </w:r>
            <w:r w:rsidRPr="006E38B1">
              <w:rPr>
                <w:b/>
                <w:color w:val="000000"/>
                <w:lang w:val="es-AR" w:eastAsia="es-AR"/>
              </w:rPr>
              <w:t xml:space="preserve"> Plan 201</w:t>
            </w:r>
            <w:r>
              <w:rPr>
                <w:b/>
                <w:color w:val="000000"/>
                <w:lang w:val="es-AR" w:eastAsia="es-AR"/>
              </w:rPr>
              <w:t>3</w:t>
            </w:r>
          </w:p>
        </w:tc>
      </w:tr>
      <w:tr w:rsidR="00455685" w:rsidRPr="006E38B1" w:rsidTr="00E819E5">
        <w:trPr>
          <w:trHeight w:val="80"/>
        </w:trPr>
        <w:tc>
          <w:tcPr>
            <w:tcW w:w="3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color w:val="000000"/>
                <w:lang w:val="es-AR" w:eastAsia="es-AR"/>
              </w:rPr>
            </w:pPr>
            <w:r w:rsidRPr="006E38B1">
              <w:rPr>
                <w:b/>
                <w:color w:val="000000"/>
                <w:lang w:val="es-AR" w:eastAsia="es-AR"/>
              </w:rPr>
              <w:t> </w:t>
            </w:r>
          </w:p>
        </w:tc>
        <w:tc>
          <w:tcPr>
            <w:tcW w:w="35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455685" w:rsidRPr="006E38B1" w:rsidRDefault="00455685" w:rsidP="00D0367A">
            <w:pPr>
              <w:jc w:val="center"/>
              <w:rPr>
                <w:color w:val="000000"/>
                <w:lang w:val="es-AR" w:eastAsia="es-AR"/>
              </w:rPr>
            </w:pPr>
            <w:r w:rsidRPr="006E38B1">
              <w:rPr>
                <w:color w:val="000000"/>
                <w:lang w:val="es-AR" w:eastAsia="es-AR"/>
              </w:rPr>
              <w:t> </w:t>
            </w:r>
          </w:p>
        </w:tc>
      </w:tr>
      <w:tr w:rsidR="00455685" w:rsidRPr="006E38B1" w:rsidTr="00E819E5">
        <w:trPr>
          <w:trHeight w:val="25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aprobada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685" w:rsidRPr="006E38B1" w:rsidRDefault="00455685" w:rsidP="00D0367A">
            <w:pPr>
              <w:jc w:val="center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  <w:t>Asignatura UNS</w:t>
            </w:r>
          </w:p>
        </w:tc>
      </w:tr>
      <w:tr w:rsidR="00455685" w:rsidRPr="006E38B1" w:rsidTr="00E819E5">
        <w:trPr>
          <w:trHeight w:val="220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Pensamiento Analítico de Datos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(INF0410)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 xml:space="preserve">Heurística y Modelado </w:t>
            </w:r>
            <w:proofErr w:type="spellStart"/>
            <w:r>
              <w:rPr>
                <w:color w:val="000000"/>
                <w:sz w:val="22"/>
                <w:szCs w:val="22"/>
                <w:lang w:val="es-AR" w:eastAsia="es-AR"/>
              </w:rPr>
              <w:t>Multiobjetivo</w:t>
            </w:r>
            <w:proofErr w:type="spellEnd"/>
            <w:proofErr w:type="gramStart"/>
            <w:r>
              <w:rPr>
                <w:color w:val="000000"/>
                <w:sz w:val="22"/>
                <w:szCs w:val="22"/>
                <w:lang w:val="es-AR" w:eastAsia="es-AR"/>
              </w:rPr>
              <w:t xml:space="preserve">   (</w:t>
            </w:r>
            <w:proofErr w:type="gramEnd"/>
            <w:r>
              <w:rPr>
                <w:color w:val="000000"/>
                <w:sz w:val="22"/>
                <w:szCs w:val="22"/>
                <w:lang w:val="es-AR" w:eastAsia="es-AR"/>
              </w:rPr>
              <w:t>INF0415)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9,2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6,7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7654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7656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 w:rsidRPr="006E38B1">
              <w:rPr>
                <w:color w:val="000000"/>
                <w:sz w:val="22"/>
                <w:szCs w:val="22"/>
                <w:lang w:val="es-AR" w:eastAsia="es-AR"/>
              </w:rPr>
              <w:t xml:space="preserve">Extracurricular Internacional </w:t>
            </w:r>
            <w:r>
              <w:rPr>
                <w:color w:val="000000"/>
                <w:sz w:val="22"/>
                <w:szCs w:val="22"/>
                <w:lang w:val="es-AR" w:eastAsia="es-AR"/>
              </w:rPr>
              <w:t>V</w:t>
            </w:r>
            <w:r w:rsidRPr="006E38B1">
              <w:rPr>
                <w:color w:val="000000"/>
                <w:sz w:val="22"/>
                <w:szCs w:val="22"/>
                <w:lang w:val="es-AR" w:eastAsia="es-AR"/>
              </w:rPr>
              <w:t>I CIC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Extracurricular Internacional VII CIC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9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E819E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8013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685" w:rsidRPr="006E38B1" w:rsidRDefault="00455685" w:rsidP="00E819E5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 xml:space="preserve">Optativa </w:t>
            </w:r>
            <w:r w:rsidR="00E819E5">
              <w:rPr>
                <w:color w:val="000000"/>
                <w:sz w:val="22"/>
                <w:szCs w:val="22"/>
                <w:lang w:val="es-AR" w:eastAsia="es-AR"/>
              </w:rPr>
              <w:t>CO ELECTIVA</w:t>
            </w:r>
          </w:p>
        </w:tc>
      </w:tr>
      <w:tr w:rsidR="00455685" w:rsidRPr="006E38B1" w:rsidTr="00E819E5">
        <w:trPr>
          <w:trHeight w:val="20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Redes Neuronales Profundas (INF0416)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Computación d Alto Desempeño (INF0418)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8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6,8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7657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7665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Extracurricular Internacional VIII CIC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Extracurricular Internacional IX CIC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Pr="006E38B1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8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7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685" w:rsidRDefault="00E819E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>8058</w:t>
            </w: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455685" w:rsidRDefault="00455685" w:rsidP="00D0367A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685" w:rsidRDefault="00455685" w:rsidP="00E819E5">
            <w:pPr>
              <w:jc w:val="center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  <w:lang w:val="es-AR" w:eastAsia="es-AR"/>
              </w:rPr>
              <w:t xml:space="preserve">Optativa </w:t>
            </w:r>
            <w:r w:rsidR="00E819E5">
              <w:rPr>
                <w:color w:val="000000"/>
                <w:sz w:val="22"/>
                <w:szCs w:val="22"/>
                <w:lang w:val="es-AR" w:eastAsia="es-AR"/>
              </w:rPr>
              <w:t>CO (ELECTIVA) 2</w:t>
            </w:r>
          </w:p>
        </w:tc>
      </w:tr>
    </w:tbl>
    <w:p w:rsidR="004C7BB1" w:rsidRDefault="004C7BB1" w:rsidP="00A01A9B">
      <w:pPr>
        <w:rPr>
          <w:b/>
          <w:lang w:val="es-ES"/>
        </w:rPr>
      </w:pPr>
      <w:bookmarkStart w:id="0" w:name="_GoBack"/>
      <w:bookmarkEnd w:id="0"/>
    </w:p>
    <w:p w:rsidR="00DD1B65" w:rsidRDefault="00DD1B65" w:rsidP="00A01A9B">
      <w:pPr>
        <w:rPr>
          <w:b/>
          <w:lang w:val="es-ES"/>
        </w:rPr>
      </w:pPr>
    </w:p>
    <w:p w:rsidR="00DD1B65" w:rsidRDefault="00DD1B65" w:rsidP="00A01A9B">
      <w:pPr>
        <w:rPr>
          <w:b/>
          <w:lang w:val="es-ES"/>
        </w:rPr>
      </w:pPr>
    </w:p>
    <w:p w:rsidR="00A01A9B" w:rsidRDefault="00A01A9B" w:rsidP="00A01A9B">
      <w:pPr>
        <w:rPr>
          <w:b/>
          <w:lang w:val="es-ES"/>
        </w:rPr>
      </w:pPr>
    </w:p>
    <w:p w:rsidR="00A01A9B" w:rsidRPr="00FF11F9" w:rsidRDefault="00A01A9B" w:rsidP="00A01A9B">
      <w:r>
        <w:rPr>
          <w:b/>
          <w:lang w:val="es-ES"/>
        </w:rPr>
        <w:t xml:space="preserve">ARTICULO 3º: </w:t>
      </w:r>
      <w:r w:rsidRPr="00167962">
        <w:rPr>
          <w:lang w:val="es-ES"/>
        </w:rPr>
        <w:t xml:space="preserve"> Regístr</w:t>
      </w:r>
      <w:r>
        <w:rPr>
          <w:lang w:val="es-ES"/>
        </w:rPr>
        <w:t>ese</w:t>
      </w:r>
      <w:r w:rsidRPr="00167962">
        <w:rPr>
          <w:lang w:val="es-ES"/>
        </w:rPr>
        <w:t>; pas</w:t>
      </w:r>
      <w:r>
        <w:rPr>
          <w:lang w:val="es-ES"/>
        </w:rPr>
        <w:t xml:space="preserve">e </w:t>
      </w:r>
      <w:r w:rsidRPr="00167962">
        <w:rPr>
          <w:lang w:val="es-ES"/>
        </w:rPr>
        <w:t xml:space="preserve">a la Dirección </w:t>
      </w:r>
      <w:r>
        <w:rPr>
          <w:lang w:val="es-ES"/>
        </w:rPr>
        <w:t xml:space="preserve">General </w:t>
      </w:r>
      <w:r w:rsidRPr="00167962">
        <w:rPr>
          <w:lang w:val="es-ES"/>
        </w:rPr>
        <w:t xml:space="preserve">de </w:t>
      </w:r>
      <w:r>
        <w:rPr>
          <w:lang w:val="es-ES"/>
        </w:rPr>
        <w:t>Gestión Académica a los fines</w:t>
      </w:r>
      <w:r w:rsidR="004C7BB1">
        <w:rPr>
          <w:lang w:val="es-ES"/>
        </w:rPr>
        <w:t xml:space="preserve"> que </w:t>
      </w:r>
      <w:proofErr w:type="gramStart"/>
      <w:r w:rsidR="004C7BB1">
        <w:rPr>
          <w:lang w:val="es-ES"/>
        </w:rPr>
        <w:t>corresponda.-</w:t>
      </w:r>
      <w:proofErr w:type="gramEnd"/>
    </w:p>
    <w:sectPr w:rsidR="00A01A9B" w:rsidRPr="00FF11F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C4" w:rsidRDefault="001E1DC4">
      <w:r>
        <w:separator/>
      </w:r>
    </w:p>
  </w:endnote>
  <w:endnote w:type="continuationSeparator" w:id="0">
    <w:p w:rsidR="001E1DC4" w:rsidRDefault="001E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C4" w:rsidRDefault="001E1DC4">
      <w:r>
        <w:separator/>
      </w:r>
    </w:p>
  </w:footnote>
  <w:footnote w:type="continuationSeparator" w:id="0">
    <w:p w:rsidR="001E1DC4" w:rsidRDefault="001E1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B73E7"/>
    <w:rsid w:val="000C7AB6"/>
    <w:rsid w:val="00103EEE"/>
    <w:rsid w:val="00131A20"/>
    <w:rsid w:val="00135B7A"/>
    <w:rsid w:val="0014025F"/>
    <w:rsid w:val="00184DE1"/>
    <w:rsid w:val="001A7563"/>
    <w:rsid w:val="001C08CF"/>
    <w:rsid w:val="001C37E7"/>
    <w:rsid w:val="001C46FB"/>
    <w:rsid w:val="001D3861"/>
    <w:rsid w:val="001D6553"/>
    <w:rsid w:val="001E1DC4"/>
    <w:rsid w:val="001E30F7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656E1"/>
    <w:rsid w:val="002740A6"/>
    <w:rsid w:val="0028017E"/>
    <w:rsid w:val="00282B61"/>
    <w:rsid w:val="00291CC9"/>
    <w:rsid w:val="00297617"/>
    <w:rsid w:val="002A61DE"/>
    <w:rsid w:val="002A71AA"/>
    <w:rsid w:val="002D5860"/>
    <w:rsid w:val="002F6A9F"/>
    <w:rsid w:val="00317730"/>
    <w:rsid w:val="00325C79"/>
    <w:rsid w:val="003635C5"/>
    <w:rsid w:val="00377941"/>
    <w:rsid w:val="00384819"/>
    <w:rsid w:val="00385E34"/>
    <w:rsid w:val="00387856"/>
    <w:rsid w:val="00393B90"/>
    <w:rsid w:val="00400C49"/>
    <w:rsid w:val="00412656"/>
    <w:rsid w:val="00417479"/>
    <w:rsid w:val="00440707"/>
    <w:rsid w:val="00442EEF"/>
    <w:rsid w:val="00445B1D"/>
    <w:rsid w:val="004477FB"/>
    <w:rsid w:val="00450898"/>
    <w:rsid w:val="00455685"/>
    <w:rsid w:val="00463A43"/>
    <w:rsid w:val="004749D3"/>
    <w:rsid w:val="00482274"/>
    <w:rsid w:val="00487EAF"/>
    <w:rsid w:val="004A3CD2"/>
    <w:rsid w:val="004C7BB1"/>
    <w:rsid w:val="004D69A8"/>
    <w:rsid w:val="004E3481"/>
    <w:rsid w:val="004F4851"/>
    <w:rsid w:val="005126FD"/>
    <w:rsid w:val="00514200"/>
    <w:rsid w:val="00574AE3"/>
    <w:rsid w:val="00590DF0"/>
    <w:rsid w:val="0059277F"/>
    <w:rsid w:val="005B0534"/>
    <w:rsid w:val="005E0835"/>
    <w:rsid w:val="00610046"/>
    <w:rsid w:val="00612A89"/>
    <w:rsid w:val="0063071F"/>
    <w:rsid w:val="00661FEF"/>
    <w:rsid w:val="00691833"/>
    <w:rsid w:val="00694E0B"/>
    <w:rsid w:val="006970EA"/>
    <w:rsid w:val="006B2574"/>
    <w:rsid w:val="006B5641"/>
    <w:rsid w:val="006C3348"/>
    <w:rsid w:val="006E5E12"/>
    <w:rsid w:val="006F6874"/>
    <w:rsid w:val="007009A6"/>
    <w:rsid w:val="007050BE"/>
    <w:rsid w:val="00756A39"/>
    <w:rsid w:val="00776CE2"/>
    <w:rsid w:val="00794B7D"/>
    <w:rsid w:val="008063BD"/>
    <w:rsid w:val="00820544"/>
    <w:rsid w:val="00824D3E"/>
    <w:rsid w:val="00833557"/>
    <w:rsid w:val="008578B7"/>
    <w:rsid w:val="00865F99"/>
    <w:rsid w:val="008B32A5"/>
    <w:rsid w:val="008C4798"/>
    <w:rsid w:val="008F11B6"/>
    <w:rsid w:val="0091404C"/>
    <w:rsid w:val="00916419"/>
    <w:rsid w:val="009218B3"/>
    <w:rsid w:val="00930023"/>
    <w:rsid w:val="0093202C"/>
    <w:rsid w:val="00941051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A01A9B"/>
    <w:rsid w:val="00A0242F"/>
    <w:rsid w:val="00A0696A"/>
    <w:rsid w:val="00A170EF"/>
    <w:rsid w:val="00A7534D"/>
    <w:rsid w:val="00A9680B"/>
    <w:rsid w:val="00AA601F"/>
    <w:rsid w:val="00AC1FE6"/>
    <w:rsid w:val="00AC49BB"/>
    <w:rsid w:val="00AC5732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A6F57"/>
    <w:rsid w:val="00BB3EE7"/>
    <w:rsid w:val="00BC0CE1"/>
    <w:rsid w:val="00BE3BD8"/>
    <w:rsid w:val="00BF4536"/>
    <w:rsid w:val="00C02E3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2AAC"/>
    <w:rsid w:val="00D4386A"/>
    <w:rsid w:val="00D47543"/>
    <w:rsid w:val="00D54B9C"/>
    <w:rsid w:val="00DA6040"/>
    <w:rsid w:val="00DA6EE9"/>
    <w:rsid w:val="00DB2352"/>
    <w:rsid w:val="00DB4BD1"/>
    <w:rsid w:val="00DC4F3B"/>
    <w:rsid w:val="00DD1B65"/>
    <w:rsid w:val="00DD6367"/>
    <w:rsid w:val="00E01FE6"/>
    <w:rsid w:val="00E113C4"/>
    <w:rsid w:val="00E125F3"/>
    <w:rsid w:val="00E12C47"/>
    <w:rsid w:val="00E2014C"/>
    <w:rsid w:val="00E51D1C"/>
    <w:rsid w:val="00E57224"/>
    <w:rsid w:val="00E819E5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97718"/>
    <w:rsid w:val="00FB2164"/>
    <w:rsid w:val="00FB3895"/>
    <w:rsid w:val="00FD6EF4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8BC3A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BE5C4-5219-4652-A669-7D6E6DE9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104</cp:revision>
  <cp:lastPrinted>2022-11-16T14:02:00Z</cp:lastPrinted>
  <dcterms:created xsi:type="dcterms:W3CDTF">2013-06-11T17:07:00Z</dcterms:created>
  <dcterms:modified xsi:type="dcterms:W3CDTF">2024-10-15T11:37:00Z</dcterms:modified>
</cp:coreProperties>
</file>