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200" w:rsidRPr="002F75C5" w:rsidRDefault="00514200" w:rsidP="00514200">
      <w:pPr>
        <w:ind w:firstLine="3402"/>
        <w:rPr>
          <w:rStyle w:val="textoNegrita"/>
          <w:lang w:val="es-AR"/>
        </w:rPr>
      </w:pPr>
      <w:bookmarkStart w:id="0" w:name="_Hlk144289057"/>
      <w:r w:rsidRPr="002F75C5">
        <w:rPr>
          <w:rStyle w:val="textoNegrita"/>
          <w:lang w:val="es-AR"/>
        </w:rPr>
        <w:t xml:space="preserve">                        REGISTRADO BAJO CDCIC-</w:t>
      </w:r>
      <w:r w:rsidR="009F5B79" w:rsidRPr="002F75C5">
        <w:rPr>
          <w:rStyle w:val="textoNegrita"/>
          <w:lang w:val="es-AR"/>
        </w:rPr>
        <w:t>271</w:t>
      </w:r>
      <w:r w:rsidRPr="002F75C5">
        <w:rPr>
          <w:rStyle w:val="textoNegrita"/>
          <w:lang w:val="es-AR"/>
        </w:rPr>
        <w:t>/24</w:t>
      </w:r>
    </w:p>
    <w:p w:rsidR="00514200" w:rsidRPr="002F75C5" w:rsidRDefault="00514200" w:rsidP="00514200">
      <w:pPr>
        <w:ind w:firstLine="3402"/>
        <w:rPr>
          <w:lang w:val="es-AR"/>
        </w:rPr>
      </w:pPr>
    </w:p>
    <w:p w:rsidR="00514200" w:rsidRPr="002F75C5" w:rsidRDefault="00514200" w:rsidP="00514200">
      <w:pPr>
        <w:ind w:firstLine="3402"/>
        <w:rPr>
          <w:lang w:val="es-AR"/>
        </w:rPr>
      </w:pPr>
      <w:r w:rsidRPr="002F75C5">
        <w:rPr>
          <w:rStyle w:val="textoNegrita"/>
          <w:lang w:val="es-AR"/>
        </w:rPr>
        <w:t xml:space="preserve">                        BAHIA BLANCA, </w:t>
      </w:r>
      <w:r w:rsidR="00D30FA3" w:rsidRPr="002F75C5">
        <w:rPr>
          <w:rStyle w:val="textoNegrita"/>
          <w:lang w:val="es-AR"/>
        </w:rPr>
        <w:t>15</w:t>
      </w:r>
      <w:r w:rsidRPr="002F75C5">
        <w:rPr>
          <w:rStyle w:val="textoNegrita"/>
          <w:lang w:val="es-AR"/>
        </w:rPr>
        <w:t xml:space="preserve"> de </w:t>
      </w:r>
      <w:r w:rsidR="002F75C5">
        <w:rPr>
          <w:rStyle w:val="textoNegrita"/>
          <w:lang w:val="es-AR"/>
        </w:rPr>
        <w:t>o</w:t>
      </w:r>
      <w:r w:rsidRPr="002F75C5">
        <w:rPr>
          <w:rStyle w:val="textoNegrita"/>
          <w:lang w:val="es-AR"/>
        </w:rPr>
        <w:t>ctubre</w:t>
      </w:r>
      <w:r w:rsidR="002F75C5">
        <w:rPr>
          <w:rStyle w:val="textoNegrita"/>
          <w:lang w:val="es-AR"/>
        </w:rPr>
        <w:t xml:space="preserve"> de</w:t>
      </w:r>
      <w:r w:rsidRPr="002F75C5">
        <w:rPr>
          <w:rStyle w:val="textoNegrita"/>
          <w:lang w:val="es-AR"/>
        </w:rPr>
        <w:t xml:space="preserve"> 2024</w:t>
      </w:r>
    </w:p>
    <w:p w:rsidR="00514200" w:rsidRPr="002F75C5" w:rsidRDefault="00514200" w:rsidP="00514200">
      <w:pPr>
        <w:rPr>
          <w:lang w:val="es-AR" w:eastAsia="es-ES"/>
        </w:rPr>
      </w:pPr>
    </w:p>
    <w:p w:rsidR="00514200" w:rsidRPr="002F75C5" w:rsidRDefault="00514200" w:rsidP="00514200">
      <w:pPr>
        <w:rPr>
          <w:rStyle w:val="textoComun"/>
          <w:b/>
          <w:lang w:val="es-AR"/>
        </w:rPr>
      </w:pPr>
      <w:r w:rsidRPr="002F75C5">
        <w:rPr>
          <w:rStyle w:val="textoComun"/>
          <w:b/>
          <w:lang w:val="es-AR"/>
        </w:rPr>
        <w:t xml:space="preserve">VISTO: </w:t>
      </w:r>
    </w:p>
    <w:p w:rsidR="00514200" w:rsidRPr="002F75C5" w:rsidRDefault="00514200" w:rsidP="00514200">
      <w:pPr>
        <w:rPr>
          <w:rStyle w:val="textoComun"/>
          <w:b/>
          <w:lang w:val="es-AR"/>
        </w:rPr>
      </w:pPr>
    </w:p>
    <w:p w:rsidR="00514200" w:rsidRDefault="00514200" w:rsidP="002F75C5">
      <w:pPr>
        <w:ind w:firstLine="851"/>
        <w:jc w:val="both"/>
        <w:rPr>
          <w:lang w:val="es-ES_tradnl"/>
        </w:rPr>
      </w:pPr>
      <w:r>
        <w:rPr>
          <w:lang w:val="es-ES_tradnl"/>
        </w:rPr>
        <w:t xml:space="preserve">La Resolución </w:t>
      </w:r>
      <w:r w:rsidR="007C3EB6">
        <w:rPr>
          <w:lang w:val="es-ES_tradnl"/>
        </w:rPr>
        <w:t>CDCIC</w:t>
      </w:r>
      <w:r>
        <w:rPr>
          <w:lang w:val="es-ES_tradnl"/>
        </w:rPr>
        <w:t>-</w:t>
      </w:r>
      <w:r w:rsidR="001F5A82">
        <w:rPr>
          <w:lang w:val="es-ES_tradnl"/>
        </w:rPr>
        <w:t>258</w:t>
      </w:r>
      <w:r>
        <w:rPr>
          <w:lang w:val="es-ES_tradnl"/>
        </w:rPr>
        <w:t xml:space="preserve">/24 mediante la cual </w:t>
      </w:r>
      <w:r w:rsidR="002F75C5">
        <w:rPr>
          <w:lang w:val="es-ES_tradnl"/>
        </w:rPr>
        <w:t>se a</w:t>
      </w:r>
      <w:r w:rsidR="002F75C5" w:rsidRPr="002F75C5">
        <w:rPr>
          <w:lang w:val="es-AR"/>
        </w:rPr>
        <w:t>prob</w:t>
      </w:r>
      <w:r w:rsidR="002F75C5">
        <w:rPr>
          <w:lang w:val="es-AR"/>
        </w:rPr>
        <w:t>ó</w:t>
      </w:r>
      <w:r w:rsidR="002F75C5" w:rsidRPr="002F75C5">
        <w:rPr>
          <w:lang w:val="es-AR"/>
        </w:rPr>
        <w:t xml:space="preserve"> y </w:t>
      </w:r>
      <w:r w:rsidR="002F75C5">
        <w:rPr>
          <w:lang w:val="es-AR"/>
        </w:rPr>
        <w:t>elevó al</w:t>
      </w:r>
      <w:r w:rsidR="002F75C5" w:rsidRPr="002F75C5">
        <w:rPr>
          <w:lang w:val="es-AR"/>
        </w:rPr>
        <w:t xml:space="preserve"> Consejo Superior Universitario la distribución del monto otorgado</w:t>
      </w:r>
      <w:r w:rsidR="002F75C5" w:rsidRPr="002F75C5">
        <w:rPr>
          <w:lang w:val="es-ES_tradnl"/>
        </w:rPr>
        <w:t xml:space="preserve"> por resolución CSU-662/24 entre los Proyectos de Grupos de Investigación de</w:t>
      </w:r>
      <w:r w:rsidR="002F75C5">
        <w:rPr>
          <w:lang w:val="es-ES_tradnl"/>
        </w:rPr>
        <w:t xml:space="preserve"> esta Unidad Académica; </w:t>
      </w:r>
    </w:p>
    <w:p w:rsidR="002F75C5" w:rsidRDefault="002F75C5" w:rsidP="002F75C5">
      <w:pPr>
        <w:ind w:firstLine="851"/>
        <w:jc w:val="both"/>
        <w:rPr>
          <w:lang w:val="es-ES_tradnl"/>
        </w:rPr>
      </w:pPr>
    </w:p>
    <w:p w:rsidR="002F75C5" w:rsidRDefault="002F75C5" w:rsidP="002F75C5">
      <w:pPr>
        <w:ind w:firstLine="851"/>
        <w:jc w:val="both"/>
        <w:rPr>
          <w:lang w:val="es-ES_tradnl"/>
        </w:rPr>
      </w:pPr>
      <w:r>
        <w:rPr>
          <w:lang w:val="es-ES_tradnl"/>
        </w:rPr>
        <w:t>La nota presentada por el Dr. Martín Larrea, Secretario de Relaciones Institucionales del Departamento de Ciencias e Ingeniería de la Computación, mediante la cual propone la rectificación de dicha resolución; y</w:t>
      </w:r>
    </w:p>
    <w:p w:rsidR="002F75C5" w:rsidRDefault="002F75C5" w:rsidP="002F75C5">
      <w:pPr>
        <w:ind w:firstLine="851"/>
        <w:jc w:val="both"/>
        <w:rPr>
          <w:lang w:val="es-ES_tradnl"/>
        </w:rPr>
      </w:pPr>
    </w:p>
    <w:p w:rsidR="002F75C5" w:rsidRDefault="002F75C5" w:rsidP="00514200">
      <w:pPr>
        <w:rPr>
          <w:rStyle w:val="textoComun"/>
          <w:b/>
          <w:lang w:val="es-AR"/>
        </w:rPr>
      </w:pPr>
    </w:p>
    <w:p w:rsidR="00514200" w:rsidRPr="002F75C5" w:rsidRDefault="00514200" w:rsidP="00514200">
      <w:pPr>
        <w:rPr>
          <w:rStyle w:val="textoComun"/>
          <w:b/>
          <w:lang w:val="es-AR"/>
        </w:rPr>
      </w:pPr>
      <w:r w:rsidRPr="002F75C5">
        <w:rPr>
          <w:rStyle w:val="textoComun"/>
          <w:b/>
          <w:lang w:val="es-AR"/>
        </w:rPr>
        <w:t>CONSIDERANDO:</w:t>
      </w:r>
    </w:p>
    <w:p w:rsidR="00514200" w:rsidRPr="002F75C5" w:rsidRDefault="00514200" w:rsidP="00514200">
      <w:pPr>
        <w:rPr>
          <w:rStyle w:val="textoComun"/>
          <w:lang w:val="es-AR"/>
        </w:rPr>
      </w:pPr>
    </w:p>
    <w:p w:rsidR="00776C2B" w:rsidRDefault="00514200" w:rsidP="00776C2B">
      <w:pPr>
        <w:ind w:firstLine="851"/>
        <w:jc w:val="both"/>
        <w:rPr>
          <w:lang w:val="es-ES_tradnl"/>
        </w:rPr>
      </w:pPr>
      <w:r w:rsidRPr="00C75B5B">
        <w:rPr>
          <w:lang w:val="es-ES_tradnl"/>
        </w:rPr>
        <w:t xml:space="preserve">Que </w:t>
      </w:r>
      <w:r w:rsidR="00981D2A" w:rsidRPr="00981D2A">
        <w:rPr>
          <w:lang w:val="es-ES_tradnl"/>
        </w:rPr>
        <w:t xml:space="preserve">luego de presentar la distribución </w:t>
      </w:r>
      <w:r w:rsidR="00776C2B">
        <w:rPr>
          <w:lang w:val="es-ES_tradnl"/>
        </w:rPr>
        <w:t>de fondos realizada</w:t>
      </w:r>
      <w:r w:rsidR="00981D2A" w:rsidRPr="00981D2A">
        <w:rPr>
          <w:lang w:val="es-ES_tradnl"/>
        </w:rPr>
        <w:t>, varios directores de PGI</w:t>
      </w:r>
      <w:r w:rsidR="00776C2B">
        <w:rPr>
          <w:lang w:val="es-ES_tradnl"/>
        </w:rPr>
        <w:t xml:space="preserve"> </w:t>
      </w:r>
      <w:r w:rsidR="00981D2A" w:rsidRPr="00981D2A">
        <w:rPr>
          <w:lang w:val="es-ES_tradnl"/>
        </w:rPr>
        <w:t xml:space="preserve">informaron que habían cometido omisiones al revisar la distribución de la producción del DCIC en los </w:t>
      </w:r>
      <w:proofErr w:type="spellStart"/>
      <w:r w:rsidR="00981D2A" w:rsidRPr="00981D2A">
        <w:rPr>
          <w:lang w:val="es-ES_tradnl"/>
        </w:rPr>
        <w:t>PGIs</w:t>
      </w:r>
      <w:proofErr w:type="spellEnd"/>
      <w:r w:rsidR="00776C2B">
        <w:rPr>
          <w:lang w:val="es-ES_tradnl"/>
        </w:rPr>
        <w:t xml:space="preserve"> </w:t>
      </w:r>
      <w:r w:rsidR="00981D2A" w:rsidRPr="00981D2A">
        <w:rPr>
          <w:lang w:val="es-ES_tradnl"/>
        </w:rPr>
        <w:t>activos al 2024</w:t>
      </w:r>
      <w:r w:rsidR="00776C2B">
        <w:rPr>
          <w:lang w:val="es-ES_tradnl"/>
        </w:rPr>
        <w:t>;</w:t>
      </w:r>
    </w:p>
    <w:p w:rsidR="00776C2B" w:rsidRDefault="00776C2B" w:rsidP="00776C2B">
      <w:pPr>
        <w:ind w:firstLine="851"/>
        <w:jc w:val="both"/>
        <w:rPr>
          <w:lang w:val="es-ES_tradnl"/>
        </w:rPr>
      </w:pPr>
    </w:p>
    <w:p w:rsidR="00514200" w:rsidRDefault="00776C2B" w:rsidP="00981D2A">
      <w:pPr>
        <w:ind w:firstLine="851"/>
        <w:jc w:val="both"/>
        <w:rPr>
          <w:lang w:val="es-ES_tradnl"/>
        </w:rPr>
      </w:pPr>
      <w:r>
        <w:rPr>
          <w:lang w:val="es-ES_tradnl"/>
        </w:rPr>
        <w:t>Que en función de esto se procedió a realizar un nuevo cálculo de los montos que corresponde</w:t>
      </w:r>
      <w:r w:rsidR="00815FAA">
        <w:rPr>
          <w:lang w:val="es-ES_tradnl"/>
        </w:rPr>
        <w:t>n</w:t>
      </w:r>
      <w:r>
        <w:rPr>
          <w:lang w:val="es-ES_tradnl"/>
        </w:rPr>
        <w:t xml:space="preserve"> a cada Proyecto de Investigación;</w:t>
      </w:r>
    </w:p>
    <w:p w:rsidR="00776C2B" w:rsidRDefault="00776C2B" w:rsidP="00981D2A">
      <w:pPr>
        <w:ind w:firstLine="851"/>
        <w:jc w:val="both"/>
        <w:rPr>
          <w:lang w:val="es-ES"/>
        </w:rPr>
      </w:pPr>
    </w:p>
    <w:p w:rsidR="00514200" w:rsidRDefault="00776C2B" w:rsidP="00776C2B">
      <w:pPr>
        <w:ind w:firstLine="851"/>
        <w:jc w:val="both"/>
        <w:rPr>
          <w:lang w:val="es-AR"/>
        </w:rPr>
      </w:pPr>
      <w:r>
        <w:rPr>
          <w:lang w:val="es-ES"/>
        </w:rPr>
        <w:t xml:space="preserve">Que los miembros del Consejo Departamental coinciden en la necesidad de </w:t>
      </w:r>
      <w:r w:rsidR="00815FAA">
        <w:rPr>
          <w:lang w:val="es-ES"/>
        </w:rPr>
        <w:t xml:space="preserve">modificar </w:t>
      </w:r>
      <w:r>
        <w:rPr>
          <w:lang w:val="es-ES"/>
        </w:rPr>
        <w:t xml:space="preserve">lo aprobado por Resolución CDCIC-258/24 a fin de </w:t>
      </w:r>
      <w:r w:rsidR="00815FAA">
        <w:rPr>
          <w:lang w:val="es-ES"/>
        </w:rPr>
        <w:t xml:space="preserve">que </w:t>
      </w:r>
      <w:r>
        <w:rPr>
          <w:lang w:val="es-ES"/>
        </w:rPr>
        <w:t xml:space="preserve">la distribución de fondos se ajuste a </w:t>
      </w:r>
      <w:r>
        <w:rPr>
          <w:lang w:val="es-AR"/>
        </w:rPr>
        <w:t>los porcentajes de productividad de cada PGI;</w:t>
      </w:r>
    </w:p>
    <w:p w:rsidR="00776C2B" w:rsidRPr="002F75C5" w:rsidRDefault="00776C2B" w:rsidP="00776C2B">
      <w:pPr>
        <w:ind w:firstLine="851"/>
        <w:jc w:val="both"/>
        <w:rPr>
          <w:lang w:val="es-AR"/>
        </w:rPr>
      </w:pPr>
    </w:p>
    <w:p w:rsidR="00514200" w:rsidRPr="002F75C5" w:rsidRDefault="00514200" w:rsidP="00514200">
      <w:pPr>
        <w:ind w:firstLine="851"/>
        <w:jc w:val="both"/>
        <w:rPr>
          <w:rStyle w:val="textoComun"/>
          <w:lang w:val="es-AR"/>
        </w:rPr>
      </w:pPr>
      <w:r w:rsidRPr="002F75C5">
        <w:rPr>
          <w:rStyle w:val="textoComun"/>
          <w:lang w:val="es-AR"/>
        </w:rPr>
        <w:t xml:space="preserve">Que el Consejo Departamental, en su reunión ordinaria de fecha </w:t>
      </w:r>
      <w:r w:rsidR="00D30FA3" w:rsidRPr="002F75C5">
        <w:rPr>
          <w:rStyle w:val="textoComun"/>
          <w:lang w:val="es-AR"/>
        </w:rPr>
        <w:t>15</w:t>
      </w:r>
      <w:r w:rsidRPr="002F75C5">
        <w:rPr>
          <w:rStyle w:val="textoComun"/>
          <w:lang w:val="es-AR"/>
        </w:rPr>
        <w:t xml:space="preserve"> de octubre de 2024, resolvió aprobar </w:t>
      </w:r>
      <w:r w:rsidR="00815FAA">
        <w:rPr>
          <w:rStyle w:val="textoComun"/>
          <w:lang w:val="es-AR"/>
        </w:rPr>
        <w:t>rectificar la citada resolución</w:t>
      </w:r>
      <w:r w:rsidRPr="002F75C5">
        <w:rPr>
          <w:rStyle w:val="textoComun"/>
          <w:lang w:val="es-AR"/>
        </w:rPr>
        <w:t>;</w:t>
      </w:r>
    </w:p>
    <w:p w:rsidR="00514200" w:rsidRPr="00C75B5B" w:rsidRDefault="00514200" w:rsidP="00514200">
      <w:pPr>
        <w:ind w:firstLine="851"/>
        <w:rPr>
          <w:lang w:val="es-ES_tradnl"/>
        </w:rPr>
      </w:pPr>
    </w:p>
    <w:p w:rsidR="00514200" w:rsidRPr="002F75C5" w:rsidRDefault="00514200" w:rsidP="00514200">
      <w:pPr>
        <w:jc w:val="both"/>
        <w:rPr>
          <w:rStyle w:val="textoComun"/>
          <w:lang w:val="es-AR"/>
        </w:rPr>
      </w:pPr>
    </w:p>
    <w:p w:rsidR="00514200" w:rsidRPr="002F75C5" w:rsidRDefault="00514200" w:rsidP="00514200">
      <w:pPr>
        <w:jc w:val="both"/>
        <w:rPr>
          <w:rStyle w:val="textoComun"/>
          <w:b/>
          <w:lang w:val="es-AR"/>
        </w:rPr>
      </w:pPr>
      <w:r w:rsidRPr="002F75C5">
        <w:rPr>
          <w:rStyle w:val="textoComun"/>
          <w:b/>
          <w:lang w:val="es-AR"/>
        </w:rPr>
        <w:t xml:space="preserve">POR ELLO, </w:t>
      </w:r>
    </w:p>
    <w:p w:rsidR="00514200" w:rsidRDefault="00514200" w:rsidP="00514200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514200" w:rsidRPr="003D6FAB" w:rsidRDefault="00514200" w:rsidP="0051420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514200" w:rsidRPr="00815FAA" w:rsidRDefault="00514200" w:rsidP="00514200">
      <w:pPr>
        <w:jc w:val="center"/>
        <w:rPr>
          <w:lang w:val="es-AR"/>
        </w:rPr>
      </w:pPr>
      <w:r w:rsidRPr="00815FAA">
        <w:rPr>
          <w:rStyle w:val="textoNegrita"/>
          <w:lang w:val="es-AR"/>
        </w:rPr>
        <w:t>RESUELVE:</w:t>
      </w:r>
    </w:p>
    <w:p w:rsidR="00514200" w:rsidRPr="00815FAA" w:rsidRDefault="00514200" w:rsidP="00514200">
      <w:pPr>
        <w:jc w:val="both"/>
        <w:rPr>
          <w:rStyle w:val="textoComun"/>
          <w:lang w:val="es-AR"/>
        </w:rPr>
      </w:pPr>
    </w:p>
    <w:p w:rsidR="00816DB1" w:rsidRDefault="00514200" w:rsidP="00816DB1">
      <w:pPr>
        <w:ind w:right="-29"/>
        <w:jc w:val="both"/>
        <w:rPr>
          <w:lang w:val="es-ES_tradnl"/>
        </w:rPr>
      </w:pPr>
      <w:r w:rsidRPr="002F75C5">
        <w:rPr>
          <w:rStyle w:val="textoComun"/>
          <w:b/>
          <w:lang w:val="es-AR"/>
        </w:rPr>
        <w:t>ARTICULO 1º:</w:t>
      </w:r>
      <w:r w:rsidRPr="002F75C5">
        <w:rPr>
          <w:rStyle w:val="textoComun"/>
          <w:lang w:val="es-AR"/>
        </w:rPr>
        <w:t xml:space="preserve"> </w:t>
      </w:r>
      <w:r w:rsidR="006E143C" w:rsidRPr="002F75C5">
        <w:rPr>
          <w:rStyle w:val="textoComun"/>
          <w:lang w:val="es-AR"/>
        </w:rPr>
        <w:t xml:space="preserve">Rectificar </w:t>
      </w:r>
      <w:r w:rsidR="006F2B1B">
        <w:rPr>
          <w:rStyle w:val="textoComun"/>
          <w:lang w:val="es-AR"/>
        </w:rPr>
        <w:t xml:space="preserve">el Anexo de </w:t>
      </w:r>
      <w:r w:rsidR="00763F8B">
        <w:rPr>
          <w:rStyle w:val="textoComun"/>
          <w:lang w:val="es-AR"/>
        </w:rPr>
        <w:t xml:space="preserve">la </w:t>
      </w:r>
      <w:r w:rsidR="00815FAA">
        <w:rPr>
          <w:rStyle w:val="textoComun"/>
          <w:lang w:val="es-AR"/>
        </w:rPr>
        <w:t>Resolución CDCIC-258/24 mediante la cual se aprueba y eleva al Consejo Superior Universitario la</w:t>
      </w:r>
      <w:r w:rsidR="006E143C" w:rsidRPr="002F75C5">
        <w:rPr>
          <w:rStyle w:val="textoComun"/>
          <w:lang w:val="es-AR"/>
        </w:rPr>
        <w:t xml:space="preserve"> Distribución de Montos para </w:t>
      </w:r>
      <w:proofErr w:type="spellStart"/>
      <w:r w:rsidR="006E143C" w:rsidRPr="002F75C5">
        <w:rPr>
          <w:rStyle w:val="textoComun"/>
          <w:lang w:val="es-AR"/>
        </w:rPr>
        <w:t>PGIs</w:t>
      </w:r>
      <w:proofErr w:type="spellEnd"/>
      <w:r w:rsidR="006E143C" w:rsidRPr="002F75C5">
        <w:rPr>
          <w:rStyle w:val="textoComun"/>
          <w:lang w:val="es-AR"/>
        </w:rPr>
        <w:t xml:space="preserve"> 2024</w:t>
      </w:r>
      <w:r w:rsidR="006F2B1B">
        <w:rPr>
          <w:rStyle w:val="textoComun"/>
          <w:lang w:val="es-AR"/>
        </w:rPr>
        <w:t>,</w:t>
      </w:r>
      <w:r w:rsidR="00763F8B">
        <w:rPr>
          <w:rStyle w:val="textoComun"/>
          <w:lang w:val="es-AR"/>
        </w:rPr>
        <w:t xml:space="preserve"> </w:t>
      </w:r>
      <w:r w:rsidR="006E143C" w:rsidRPr="002F75C5">
        <w:rPr>
          <w:rStyle w:val="textoComun"/>
          <w:lang w:val="es-AR"/>
        </w:rPr>
        <w:t>quedando redactado de la sigu</w:t>
      </w:r>
      <w:r w:rsidR="00815FAA">
        <w:rPr>
          <w:rStyle w:val="textoComun"/>
          <w:lang w:val="es-AR"/>
        </w:rPr>
        <w:t>iente</w:t>
      </w:r>
      <w:r w:rsidR="00763F8B">
        <w:rPr>
          <w:rStyle w:val="textoComun"/>
          <w:lang w:val="es-AR"/>
        </w:rPr>
        <w:t xml:space="preserve"> </w:t>
      </w:r>
      <w:r w:rsidR="006E143C" w:rsidRPr="002F75C5">
        <w:rPr>
          <w:rStyle w:val="textoComun"/>
          <w:lang w:val="es-AR"/>
        </w:rPr>
        <w:t>manera</w:t>
      </w:r>
      <w:r w:rsidR="00816DB1">
        <w:rPr>
          <w:lang w:val="es-ES_tradnl"/>
        </w:rPr>
        <w:t>:</w:t>
      </w:r>
    </w:p>
    <w:p w:rsidR="00816DB1" w:rsidRDefault="00816DB1" w:rsidP="00514200">
      <w:pPr>
        <w:ind w:right="-29"/>
        <w:jc w:val="both"/>
        <w:rPr>
          <w:lang w:val="es-ES_tradnl"/>
        </w:rPr>
      </w:pPr>
    </w:p>
    <w:p w:rsidR="00763F8B" w:rsidRDefault="00763F8B" w:rsidP="00763F8B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63F8B" w:rsidRDefault="00763F8B" w:rsidP="00763F8B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63F8B" w:rsidRDefault="00763F8B" w:rsidP="00763F8B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9533B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271</w:t>
      </w:r>
      <w:r w:rsidRPr="0029533B">
        <w:rPr>
          <w:rFonts w:ascii="Times New Roman" w:hAnsi="Times New Roman" w:cs="Times New Roman"/>
          <w:b/>
          <w:sz w:val="24"/>
          <w:szCs w:val="24"/>
          <w:lang w:val="es-ES"/>
        </w:rPr>
        <w:t>/24</w:t>
      </w:r>
    </w:p>
    <w:p w:rsidR="006F2B1B" w:rsidRDefault="006F2B1B" w:rsidP="00763F8B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ANEXO </w:t>
      </w:r>
    </w:p>
    <w:p w:rsidR="00763F8B" w:rsidRDefault="00763F8B" w:rsidP="00763F8B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PGIs</w:t>
      </w:r>
      <w:proofErr w:type="spellEnd"/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DCIC / DISTRIBUCION DE MONTOS PARA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PGIs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20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24</w:t>
      </w:r>
    </w:p>
    <w:p w:rsidR="00763F8B" w:rsidRPr="0029533B" w:rsidRDefault="00763F8B" w:rsidP="00763F8B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Correspondiente a los fondos recibidos por el DCIC según Res. CSU-662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/20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24</w:t>
      </w:r>
      <w:r w:rsidRPr="00C75B5B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</w:p>
    <w:p w:rsidR="00514200" w:rsidRPr="00C75B5B" w:rsidRDefault="00514200" w:rsidP="00514200">
      <w:pPr>
        <w:pStyle w:val="justified"/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tbl>
      <w:tblPr>
        <w:tblW w:w="9173" w:type="dxa"/>
        <w:tblInd w:w="93" w:type="dxa"/>
        <w:tblLook w:val="04A0" w:firstRow="1" w:lastRow="0" w:firstColumn="1" w:lastColumn="0" w:noHBand="0" w:noVBand="1"/>
      </w:tblPr>
      <w:tblGrid>
        <w:gridCol w:w="1139"/>
        <w:gridCol w:w="2052"/>
        <w:gridCol w:w="4281"/>
        <w:gridCol w:w="1701"/>
      </w:tblGrid>
      <w:tr w:rsidR="00514200" w:rsidRPr="00B608FD" w:rsidTr="00763F8B">
        <w:trPr>
          <w:trHeight w:val="300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14200" w:rsidRPr="00B608FD" w:rsidRDefault="00514200" w:rsidP="00581078">
            <w:pPr>
              <w:jc w:val="center"/>
              <w:rPr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b/>
                <w:bCs/>
                <w:i/>
                <w:iCs/>
                <w:lang w:val="es-ES" w:eastAsia="es-ES"/>
              </w:rPr>
              <w:t>Código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14200" w:rsidRPr="00B608FD" w:rsidRDefault="00514200" w:rsidP="00581078">
            <w:pPr>
              <w:jc w:val="center"/>
              <w:rPr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b/>
                <w:bCs/>
                <w:i/>
                <w:iCs/>
                <w:lang w:val="es-ES" w:eastAsia="es-ES"/>
              </w:rPr>
              <w:t>Director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14200" w:rsidRPr="00B608FD" w:rsidRDefault="00514200" w:rsidP="00581078">
            <w:pPr>
              <w:rPr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b/>
                <w:bCs/>
                <w:i/>
                <w:iCs/>
                <w:lang w:val="es-ES" w:eastAsia="es-ES"/>
              </w:rPr>
              <w:t xml:space="preserve"> Nombre del Proyecto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514200" w:rsidRPr="00B608FD" w:rsidRDefault="00514200" w:rsidP="00581078">
            <w:pPr>
              <w:jc w:val="center"/>
              <w:rPr>
                <w:b/>
                <w:bCs/>
                <w:i/>
                <w:iCs/>
                <w:lang w:val="es-ES" w:eastAsia="es-ES"/>
              </w:rPr>
            </w:pPr>
            <w:r w:rsidRPr="00B608FD">
              <w:rPr>
                <w:b/>
                <w:bCs/>
                <w:i/>
                <w:iCs/>
                <w:lang w:val="es-ES" w:eastAsia="es-ES"/>
              </w:rPr>
              <w:t>Monto Asignado</w:t>
            </w:r>
          </w:p>
        </w:tc>
      </w:tr>
      <w:tr w:rsidR="00514200" w:rsidRPr="00B608FD" w:rsidTr="00763F8B">
        <w:trPr>
          <w:trHeight w:hRule="exact" w:val="79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200" w:rsidRPr="00582843" w:rsidRDefault="00514200" w:rsidP="00581078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24/N053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200" w:rsidRPr="00582843" w:rsidRDefault="00514200" w:rsidP="00581078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BRIGNOLE, NELIDA BEATRIZ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200" w:rsidRPr="002F75C5" w:rsidRDefault="00514200" w:rsidP="00581078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>Computación Científica Aplicada Al Desarrollo De Conocimientos En Ingeniería De Procesos</w:t>
            </w:r>
            <w:r w:rsidR="000B73E7" w:rsidRPr="002F75C5">
              <w:rPr>
                <w:sz w:val="20"/>
                <w:szCs w:val="20"/>
                <w:lang w:val="es-AR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200" w:rsidRPr="00582843" w:rsidRDefault="00514200" w:rsidP="006E143C">
            <w:pPr>
              <w:jc w:val="right"/>
              <w:rPr>
                <w:bCs/>
                <w:iCs/>
                <w:sz w:val="20"/>
                <w:szCs w:val="20"/>
                <w:highlight w:val="yellow"/>
                <w:lang w:val="es-ES" w:eastAsia="es-ES"/>
              </w:rPr>
            </w:pPr>
            <w:proofErr w:type="gramStart"/>
            <w:r>
              <w:rPr>
                <w:bCs/>
                <w:iCs/>
                <w:sz w:val="20"/>
                <w:szCs w:val="20"/>
                <w:lang w:val="es-ES" w:eastAsia="es-ES"/>
              </w:rPr>
              <w:t>$  877,</w:t>
            </w:r>
            <w:r w:rsidR="006E143C">
              <w:rPr>
                <w:bCs/>
                <w:iCs/>
                <w:sz w:val="20"/>
                <w:szCs w:val="20"/>
                <w:lang w:val="es-ES" w:eastAsia="es-ES"/>
              </w:rPr>
              <w:t>632</w:t>
            </w:r>
            <w:proofErr w:type="gramEnd"/>
            <w:r>
              <w:rPr>
                <w:bCs/>
                <w:iCs/>
                <w:sz w:val="20"/>
                <w:szCs w:val="20"/>
                <w:lang w:val="es-ES" w:eastAsia="es-ES"/>
              </w:rPr>
              <w:t>.-</w:t>
            </w:r>
          </w:p>
        </w:tc>
      </w:tr>
      <w:tr w:rsidR="00514200" w:rsidRPr="00B608FD" w:rsidTr="00763F8B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200" w:rsidRPr="00582843" w:rsidRDefault="00514200" w:rsidP="00581078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24/N052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200" w:rsidRPr="00582843" w:rsidRDefault="00514200" w:rsidP="00581078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CARBALLIDO, JESSICA ANDREA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200" w:rsidRPr="002F75C5" w:rsidRDefault="00514200" w:rsidP="00581078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>Modelado predictivo en Bioinformática basado en el desarrollo de técnicas de Computación Evolutiva y Aprendizaje Automático.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200" w:rsidRPr="00582843" w:rsidRDefault="00514200" w:rsidP="006E143C">
            <w:pPr>
              <w:jc w:val="right"/>
              <w:rPr>
                <w:sz w:val="20"/>
                <w:szCs w:val="20"/>
                <w:highlight w:val="yellow"/>
                <w:lang w:val="es-ES" w:eastAsia="es-ES"/>
              </w:rPr>
            </w:pPr>
            <w:proofErr w:type="gramStart"/>
            <w:r>
              <w:rPr>
                <w:sz w:val="20"/>
                <w:szCs w:val="20"/>
                <w:lang w:val="es-ES" w:eastAsia="es-ES"/>
              </w:rPr>
              <w:t>$  513</w:t>
            </w:r>
            <w:proofErr w:type="gramEnd"/>
            <w:r w:rsidRPr="00582843">
              <w:rPr>
                <w:sz w:val="20"/>
                <w:szCs w:val="20"/>
                <w:lang w:val="es-ES" w:eastAsia="es-ES"/>
              </w:rPr>
              <w:t>.</w:t>
            </w:r>
            <w:r>
              <w:rPr>
                <w:sz w:val="20"/>
                <w:szCs w:val="20"/>
                <w:lang w:val="es-ES" w:eastAsia="es-ES"/>
              </w:rPr>
              <w:t>7</w:t>
            </w:r>
            <w:r w:rsidR="006E143C">
              <w:rPr>
                <w:sz w:val="20"/>
                <w:szCs w:val="20"/>
                <w:lang w:val="es-ES" w:eastAsia="es-ES"/>
              </w:rPr>
              <w:t>14</w:t>
            </w:r>
            <w:r>
              <w:rPr>
                <w:sz w:val="20"/>
                <w:szCs w:val="20"/>
                <w:lang w:val="es-ES" w:eastAsia="es-ES"/>
              </w:rPr>
              <w:t>.-</w:t>
            </w:r>
          </w:p>
        </w:tc>
      </w:tr>
      <w:tr w:rsidR="00514200" w:rsidRPr="00B608FD" w:rsidTr="00763F8B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200" w:rsidRPr="00582843" w:rsidRDefault="00514200" w:rsidP="00581078">
            <w:pPr>
              <w:jc w:val="center"/>
              <w:rPr>
                <w:sz w:val="20"/>
                <w:szCs w:val="20"/>
              </w:rPr>
            </w:pPr>
            <w:r w:rsidRPr="00582843">
              <w:rPr>
                <w:sz w:val="20"/>
                <w:szCs w:val="20"/>
              </w:rPr>
              <w:t>24/ZN</w:t>
            </w:r>
            <w:r>
              <w:rPr>
                <w:sz w:val="20"/>
                <w:szCs w:val="20"/>
              </w:rPr>
              <w:t>40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200" w:rsidRPr="00582843" w:rsidRDefault="00514200" w:rsidP="00581078">
            <w:pPr>
              <w:jc w:val="center"/>
              <w:rPr>
                <w:sz w:val="20"/>
                <w:szCs w:val="20"/>
                <w:lang w:val="es-AR"/>
              </w:rPr>
            </w:pPr>
            <w:r w:rsidRPr="00582843">
              <w:rPr>
                <w:sz w:val="20"/>
                <w:szCs w:val="20"/>
                <w:lang w:val="es-AR"/>
              </w:rPr>
              <w:t>CENCI, K.M.</w:t>
            </w:r>
            <w:r w:rsidRPr="00582843">
              <w:rPr>
                <w:sz w:val="20"/>
                <w:szCs w:val="20"/>
                <w:lang w:val="es-AR"/>
              </w:rPr>
              <w:br/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200" w:rsidRPr="002F75C5" w:rsidRDefault="00514200" w:rsidP="00581078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 xml:space="preserve">Utilización Eficiente y Sostenible de Recursos en </w:t>
            </w:r>
            <w:proofErr w:type="spellStart"/>
            <w:r w:rsidRPr="002F75C5">
              <w:rPr>
                <w:sz w:val="20"/>
                <w:szCs w:val="20"/>
                <w:lang w:val="es-AR"/>
              </w:rPr>
              <w:t>Cluster</w:t>
            </w:r>
            <w:proofErr w:type="spellEnd"/>
            <w:r w:rsidRPr="002F75C5">
              <w:rPr>
                <w:sz w:val="20"/>
                <w:szCs w:val="20"/>
                <w:lang w:val="es-AR"/>
              </w:rPr>
              <w:t xml:space="preserve"> de Bajo Cero</w:t>
            </w:r>
            <w:r w:rsidR="000B73E7" w:rsidRPr="002F75C5">
              <w:rPr>
                <w:sz w:val="20"/>
                <w:szCs w:val="20"/>
                <w:lang w:val="es-AR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14200" w:rsidRPr="00582843" w:rsidRDefault="00514200" w:rsidP="006E143C">
            <w:pPr>
              <w:jc w:val="right"/>
              <w:rPr>
                <w:sz w:val="20"/>
                <w:szCs w:val="20"/>
                <w:lang w:val="es-ES_tradnl" w:eastAsia="es-ES"/>
              </w:rPr>
            </w:pPr>
            <w:proofErr w:type="gramStart"/>
            <w:r>
              <w:rPr>
                <w:sz w:val="20"/>
                <w:szCs w:val="20"/>
                <w:lang w:val="es-ES_tradnl" w:eastAsia="es-ES"/>
              </w:rPr>
              <w:t>$  290</w:t>
            </w:r>
            <w:proofErr w:type="gramEnd"/>
            <w:r>
              <w:rPr>
                <w:sz w:val="20"/>
                <w:szCs w:val="20"/>
                <w:lang w:val="es-ES_tradnl" w:eastAsia="es-ES"/>
              </w:rPr>
              <w:t>.8</w:t>
            </w:r>
            <w:r w:rsidR="006E143C">
              <w:rPr>
                <w:sz w:val="20"/>
                <w:szCs w:val="20"/>
                <w:lang w:val="es-ES_tradnl" w:eastAsia="es-ES"/>
              </w:rPr>
              <w:t>70</w:t>
            </w:r>
            <w:r>
              <w:rPr>
                <w:sz w:val="20"/>
                <w:szCs w:val="20"/>
                <w:lang w:val="es-ES_tradnl" w:eastAsia="es-ES"/>
              </w:rPr>
              <w:t>.-</w:t>
            </w:r>
          </w:p>
        </w:tc>
      </w:tr>
      <w:tr w:rsidR="00514200" w:rsidRPr="00B608FD" w:rsidTr="00763F8B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4200" w:rsidRDefault="00514200" w:rsidP="005810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24/N054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200" w:rsidRDefault="00514200" w:rsidP="005810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ESTEVEZ, ELSA CLARA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200" w:rsidRPr="002F75C5" w:rsidRDefault="00514200" w:rsidP="00581078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>Desarrollo y Gobernanza de Ciudades Inteligentes Sostenibles</w:t>
            </w:r>
            <w:r w:rsidR="000B73E7" w:rsidRPr="002F75C5">
              <w:rPr>
                <w:sz w:val="20"/>
                <w:szCs w:val="20"/>
                <w:lang w:val="es-AR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14200" w:rsidRPr="00582843" w:rsidRDefault="00514200" w:rsidP="006E143C">
            <w:pPr>
              <w:jc w:val="right"/>
              <w:rPr>
                <w:sz w:val="20"/>
                <w:szCs w:val="20"/>
                <w:lang w:val="es-ES_tradnl" w:eastAsia="es-ES"/>
              </w:rPr>
            </w:pPr>
            <w:r>
              <w:rPr>
                <w:sz w:val="20"/>
                <w:szCs w:val="20"/>
                <w:lang w:val="es-ES_tradnl" w:eastAsia="es-ES"/>
              </w:rPr>
              <w:t>$ 236</w:t>
            </w:r>
            <w:r w:rsidRPr="00582843">
              <w:rPr>
                <w:sz w:val="20"/>
                <w:szCs w:val="20"/>
                <w:lang w:val="es-ES_tradnl" w:eastAsia="es-ES"/>
              </w:rPr>
              <w:t>.</w:t>
            </w:r>
            <w:r>
              <w:rPr>
                <w:sz w:val="20"/>
                <w:szCs w:val="20"/>
                <w:lang w:val="es-ES_tradnl" w:eastAsia="es-ES"/>
              </w:rPr>
              <w:t>9</w:t>
            </w:r>
            <w:r w:rsidR="006E143C">
              <w:rPr>
                <w:sz w:val="20"/>
                <w:szCs w:val="20"/>
                <w:lang w:val="es-ES_tradnl" w:eastAsia="es-ES"/>
              </w:rPr>
              <w:t>62</w:t>
            </w:r>
            <w:r>
              <w:rPr>
                <w:sz w:val="20"/>
                <w:szCs w:val="20"/>
                <w:lang w:val="es-ES_tradnl" w:eastAsia="es-ES"/>
              </w:rPr>
              <w:t>.-</w:t>
            </w:r>
          </w:p>
        </w:tc>
      </w:tr>
      <w:bookmarkEnd w:id="0"/>
      <w:tr w:rsidR="006F2B1B" w:rsidRPr="00B608FD" w:rsidTr="005E0D95">
        <w:trPr>
          <w:trHeight w:hRule="exact" w:val="79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24/N058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FILLOTTRANI, PABLO RUBÉN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Pr="002F75C5" w:rsidRDefault="006F2B1B" w:rsidP="006F2B1B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>Ontologías Y Modelado para Gestión de la Información en Inteligencia Artificial.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2B1B" w:rsidRPr="00CE00AF" w:rsidRDefault="006F2B1B" w:rsidP="006F2B1B">
            <w:pPr>
              <w:jc w:val="right"/>
              <w:rPr>
                <w:sz w:val="20"/>
                <w:szCs w:val="20"/>
                <w:lang w:val="es-ES_tradnl" w:eastAsia="es-ES"/>
              </w:rPr>
            </w:pPr>
            <w:proofErr w:type="gramStart"/>
            <w:r>
              <w:rPr>
                <w:sz w:val="20"/>
                <w:szCs w:val="20"/>
                <w:lang w:val="es-ES_tradnl" w:eastAsia="es-ES"/>
              </w:rPr>
              <w:t>$  1</w:t>
            </w:r>
            <w:proofErr w:type="gramEnd"/>
            <w:r>
              <w:rPr>
                <w:sz w:val="20"/>
                <w:szCs w:val="20"/>
                <w:lang w:val="es-ES_tradnl" w:eastAsia="es-ES"/>
              </w:rPr>
              <w:t xml:space="preserve">.746.543.- </w:t>
            </w:r>
          </w:p>
        </w:tc>
      </w:tr>
      <w:tr w:rsidR="006F2B1B" w:rsidRPr="00B608FD" w:rsidTr="00763F8B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24/ZN42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GANUZA, MARÍA LUJÁN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Pr="002F75C5" w:rsidRDefault="006F2B1B" w:rsidP="006F2B1B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>Análisis Visual de Datos Multidimensionales.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2B1B" w:rsidRPr="00CE00AF" w:rsidRDefault="006F2B1B" w:rsidP="006F2B1B">
            <w:pPr>
              <w:jc w:val="right"/>
              <w:rPr>
                <w:sz w:val="20"/>
                <w:szCs w:val="20"/>
                <w:lang w:val="es-ES_tradnl" w:eastAsia="es-ES"/>
              </w:rPr>
            </w:pPr>
            <w:proofErr w:type="gramStart"/>
            <w:r>
              <w:rPr>
                <w:sz w:val="20"/>
                <w:szCs w:val="20"/>
                <w:lang w:val="es-ES_tradnl" w:eastAsia="es-ES"/>
              </w:rPr>
              <w:t>$  2</w:t>
            </w:r>
            <w:proofErr w:type="gramEnd"/>
            <w:r>
              <w:rPr>
                <w:sz w:val="20"/>
                <w:szCs w:val="20"/>
                <w:lang w:val="es-ES_tradnl" w:eastAsia="es-ES"/>
              </w:rPr>
              <w:t>.664.875.-</w:t>
            </w:r>
          </w:p>
        </w:tc>
      </w:tr>
      <w:tr w:rsidR="006F2B1B" w:rsidRPr="00B608FD" w:rsidTr="00763F8B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24/N055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 w:rsidRPr="002F75C5">
              <w:rPr>
                <w:sz w:val="20"/>
                <w:szCs w:val="20"/>
                <w:lang w:val="es-AR"/>
              </w:rPr>
              <w:t>GARCIA, A.J.</w:t>
            </w:r>
            <w:r w:rsidRPr="002F75C5">
              <w:rPr>
                <w:sz w:val="20"/>
                <w:szCs w:val="20"/>
                <w:lang w:val="es-AR"/>
              </w:rPr>
              <w:br/>
              <w:t xml:space="preserve">FALAPPA, M.A.  </w:t>
            </w:r>
            <w:r>
              <w:rPr>
                <w:sz w:val="20"/>
                <w:szCs w:val="20"/>
              </w:rPr>
              <w:t>(Co-</w:t>
            </w:r>
            <w:proofErr w:type="spellStart"/>
            <w:r>
              <w:rPr>
                <w:sz w:val="20"/>
                <w:szCs w:val="20"/>
              </w:rPr>
              <w:t>dir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Pr="002F75C5" w:rsidRDefault="006F2B1B" w:rsidP="006F2B1B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 xml:space="preserve">Herramientas de representación de conocimiento, razonamiento automático y argumentación en sistemas </w:t>
            </w:r>
            <w:proofErr w:type="spellStart"/>
            <w:r w:rsidRPr="002F75C5">
              <w:rPr>
                <w:sz w:val="20"/>
                <w:szCs w:val="20"/>
                <w:lang w:val="es-AR"/>
              </w:rPr>
              <w:t>multi-agente</w:t>
            </w:r>
            <w:proofErr w:type="spellEnd"/>
            <w:r w:rsidRPr="002F75C5">
              <w:rPr>
                <w:sz w:val="20"/>
                <w:szCs w:val="20"/>
                <w:lang w:val="es-AR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2B1B" w:rsidRPr="00B608FD" w:rsidRDefault="006F2B1B" w:rsidP="006F2B1B">
            <w:pPr>
              <w:jc w:val="right"/>
              <w:rPr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$ 1.594.686.-</w:t>
            </w:r>
          </w:p>
        </w:tc>
      </w:tr>
      <w:tr w:rsidR="006F2B1B" w:rsidRPr="00B608FD" w:rsidTr="00763F8B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24/ZN37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Pr="002F75C5" w:rsidRDefault="006F2B1B" w:rsidP="006F2B1B">
            <w:pPr>
              <w:jc w:val="center"/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>GOTTIFREDI, S.</w:t>
            </w:r>
            <w:r w:rsidRPr="002F75C5">
              <w:rPr>
                <w:sz w:val="20"/>
                <w:szCs w:val="20"/>
                <w:lang w:val="es-AR"/>
              </w:rPr>
              <w:br/>
              <w:t>TAMARGO, L.H. (</w:t>
            </w:r>
            <w:proofErr w:type="spellStart"/>
            <w:r w:rsidRPr="002F75C5">
              <w:rPr>
                <w:sz w:val="20"/>
                <w:szCs w:val="20"/>
                <w:lang w:val="es-AR"/>
              </w:rPr>
              <w:t>Co-dir</w:t>
            </w:r>
            <w:proofErr w:type="spellEnd"/>
            <w:r w:rsidRPr="002F75C5">
              <w:rPr>
                <w:sz w:val="20"/>
                <w:szCs w:val="20"/>
                <w:lang w:val="es-AR"/>
              </w:rPr>
              <w:t>)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Pr="002F75C5" w:rsidRDefault="006F2B1B" w:rsidP="006F2B1B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>Argumentación y revisión de creencias para razonamiento e intercambio de información entre agentes con diferentes grados de credibilidad.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2B1B" w:rsidRPr="00A85FE3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  <w:proofErr w:type="gramStart"/>
            <w:r>
              <w:rPr>
                <w:sz w:val="20"/>
                <w:szCs w:val="20"/>
                <w:lang w:val="es-ES" w:eastAsia="es-ES"/>
              </w:rPr>
              <w:t>$  1</w:t>
            </w:r>
            <w:proofErr w:type="gramEnd"/>
            <w:r>
              <w:rPr>
                <w:sz w:val="20"/>
                <w:szCs w:val="20"/>
                <w:lang w:val="es-ES" w:eastAsia="es-ES"/>
              </w:rPr>
              <w:t>.090.592.-</w:t>
            </w:r>
          </w:p>
        </w:tc>
      </w:tr>
      <w:tr w:rsidR="006F2B1B" w:rsidRPr="00B608FD" w:rsidTr="00763F8B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1B" w:rsidRPr="00A85FE3" w:rsidRDefault="006F2B1B" w:rsidP="006F2B1B">
            <w:pPr>
              <w:jc w:val="center"/>
              <w:rPr>
                <w:sz w:val="20"/>
                <w:szCs w:val="20"/>
              </w:rPr>
            </w:pPr>
            <w:r w:rsidRPr="00A85FE3">
              <w:rPr>
                <w:sz w:val="20"/>
                <w:szCs w:val="20"/>
              </w:rPr>
              <w:t>24/N05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Pr="00A85FE3" w:rsidRDefault="006F2B1B" w:rsidP="006F2B1B">
            <w:pPr>
              <w:jc w:val="center"/>
              <w:rPr>
                <w:sz w:val="20"/>
                <w:szCs w:val="20"/>
              </w:rPr>
            </w:pPr>
            <w:r w:rsidRPr="00A85FE3">
              <w:rPr>
                <w:sz w:val="20"/>
                <w:szCs w:val="20"/>
              </w:rPr>
              <w:t>LARREA, MARTÍN LEONARDO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Pr="002F75C5" w:rsidRDefault="006F2B1B" w:rsidP="006F2B1B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>Verificación y Validación de Software en la Industria5.</w:t>
            </w:r>
            <w:proofErr w:type="gramStart"/>
            <w:r w:rsidRPr="002F75C5">
              <w:rPr>
                <w:sz w:val="20"/>
                <w:szCs w:val="20"/>
                <w:lang w:val="es-AR"/>
              </w:rPr>
              <w:t>0 .</w:t>
            </w:r>
            <w:proofErr w:type="gramEnd"/>
            <w:r w:rsidRPr="002F75C5">
              <w:rPr>
                <w:sz w:val="20"/>
                <w:szCs w:val="20"/>
                <w:lang w:val="es-A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2B1B" w:rsidRPr="00A85FE3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 xml:space="preserve">$ </w:t>
            </w:r>
            <w:proofErr w:type="gramStart"/>
            <w:r>
              <w:rPr>
                <w:sz w:val="20"/>
                <w:szCs w:val="20"/>
                <w:lang w:val="es-ES" w:eastAsia="es-ES"/>
              </w:rPr>
              <w:t>423.858 .</w:t>
            </w:r>
            <w:proofErr w:type="gramEnd"/>
            <w:r>
              <w:rPr>
                <w:sz w:val="20"/>
                <w:szCs w:val="20"/>
                <w:lang w:val="es-ES" w:eastAsia="es-ES"/>
              </w:rPr>
              <w:t>-</w:t>
            </w:r>
          </w:p>
        </w:tc>
      </w:tr>
      <w:tr w:rsidR="006F2B1B" w:rsidRPr="00B608FD" w:rsidTr="00763F8B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24/N060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MAGUITMAN, ANA GABRIELA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Pr="002F75C5" w:rsidRDefault="006F2B1B" w:rsidP="006F2B1B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>Extracción Estructurada de Conocimiento: Integración de Modelos Causales y Extracción de Argumentos en Grandes Volúmenes de Opiniones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1.701.615.-</w:t>
            </w:r>
          </w:p>
        </w:tc>
      </w:tr>
      <w:tr w:rsidR="006F2B1B" w:rsidRPr="00B608FD" w:rsidTr="00763F8B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24/ZN43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SELZER, MATÍAS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Pr="002F75C5" w:rsidRDefault="006F2B1B" w:rsidP="006F2B1B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>Aplicación de Tecnologías Inmersivas y Visualización Situada en Geociencias.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546.961.-</w:t>
            </w:r>
          </w:p>
        </w:tc>
      </w:tr>
      <w:tr w:rsidR="006F2B1B" w:rsidRPr="00B608FD" w:rsidTr="004F216C">
        <w:trPr>
          <w:trHeight w:hRule="exact" w:val="79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24/N057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SIMARI GERARDO IGNACIO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Pr="002F75C5" w:rsidRDefault="006F2B1B" w:rsidP="006F2B1B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>Herramientas de razonamiento automatizado para el desarrollo de sistemas socio-técnicos inteligentes.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2.764.615.-</w:t>
            </w:r>
          </w:p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</w:p>
        </w:tc>
      </w:tr>
      <w:tr w:rsidR="006F2B1B" w:rsidRPr="00B608FD" w:rsidTr="004F216C">
        <w:trPr>
          <w:trHeight w:hRule="exact" w:val="79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24/ZN41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Default="006F2B1B" w:rsidP="006F2B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SOTO, AXEL JUAN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Pr="002F75C5" w:rsidRDefault="006F2B1B" w:rsidP="006F2B1B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>Aplicación de técnicas de aprendizaje automático a través de herramientas de analítica visual para expertos de dominios especializados.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2B1B" w:rsidRDefault="006F2B1B" w:rsidP="006F2B1B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433.742.-</w:t>
            </w:r>
          </w:p>
        </w:tc>
      </w:tr>
    </w:tbl>
    <w:p w:rsidR="001F5A82" w:rsidRDefault="001F5A82" w:rsidP="001F5A82">
      <w:pPr>
        <w:rPr>
          <w:rStyle w:val="textoNegrita"/>
        </w:rPr>
      </w:pPr>
    </w:p>
    <w:p w:rsidR="006F2B1B" w:rsidRDefault="006F2B1B" w:rsidP="001F5A82">
      <w:pPr>
        <w:rPr>
          <w:rStyle w:val="textoNegrita"/>
        </w:rPr>
      </w:pPr>
    </w:p>
    <w:p w:rsidR="006F2B1B" w:rsidRDefault="006F2B1B" w:rsidP="001F5A82">
      <w:pPr>
        <w:rPr>
          <w:rStyle w:val="textoNegrita"/>
        </w:rPr>
      </w:pPr>
      <w:r>
        <w:rPr>
          <w:rStyle w:val="textoNegrita"/>
        </w:rPr>
        <w:lastRenderedPageBreak/>
        <w:t>///CDCIC-271/24</w:t>
      </w:r>
    </w:p>
    <w:p w:rsidR="006F2B1B" w:rsidRDefault="006F2B1B" w:rsidP="001F5A82">
      <w:pPr>
        <w:rPr>
          <w:rStyle w:val="textoNegrita"/>
        </w:rPr>
      </w:pPr>
      <w:bookmarkStart w:id="1" w:name="_GoBack"/>
      <w:bookmarkEnd w:id="1"/>
    </w:p>
    <w:tbl>
      <w:tblPr>
        <w:tblW w:w="9173" w:type="dxa"/>
        <w:tblInd w:w="93" w:type="dxa"/>
        <w:tblLook w:val="04A0" w:firstRow="1" w:lastRow="0" w:firstColumn="1" w:lastColumn="0" w:noHBand="0" w:noVBand="1"/>
      </w:tblPr>
      <w:tblGrid>
        <w:gridCol w:w="1139"/>
        <w:gridCol w:w="2052"/>
        <w:gridCol w:w="4281"/>
        <w:gridCol w:w="1701"/>
      </w:tblGrid>
      <w:tr w:rsidR="006F2B1B" w:rsidTr="00D8782A">
        <w:trPr>
          <w:trHeight w:hRule="exact" w:val="794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1B" w:rsidRDefault="006F2B1B" w:rsidP="00D878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24/ZN4460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Default="006F2B1B" w:rsidP="00D878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URRRIBARRI, DANA KARINA</w:t>
            </w:r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Pr="002F75C5" w:rsidRDefault="006F2B1B" w:rsidP="00D8782A">
            <w:pPr>
              <w:rPr>
                <w:sz w:val="20"/>
                <w:szCs w:val="20"/>
                <w:lang w:val="es-AR"/>
              </w:rPr>
            </w:pPr>
            <w:r w:rsidRPr="002F75C5">
              <w:rPr>
                <w:sz w:val="20"/>
                <w:szCs w:val="20"/>
                <w:lang w:val="es-AR"/>
              </w:rPr>
              <w:t>Visualización comparativa: un enfoque desde la visualización de información para la comparación de datos.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2B1B" w:rsidRDefault="006F2B1B" w:rsidP="00D8782A">
            <w:pPr>
              <w:jc w:val="right"/>
              <w:rPr>
                <w:sz w:val="20"/>
                <w:szCs w:val="20"/>
                <w:lang w:val="es-ES" w:eastAsia="es-ES"/>
              </w:rPr>
            </w:pPr>
            <w:r>
              <w:rPr>
                <w:sz w:val="20"/>
                <w:szCs w:val="20"/>
                <w:lang w:val="es-ES" w:eastAsia="es-ES"/>
              </w:rPr>
              <w:t>$ 675.455.-</w:t>
            </w:r>
          </w:p>
        </w:tc>
      </w:tr>
      <w:tr w:rsidR="006F2B1B" w:rsidRPr="001E30F7" w:rsidTr="00D8782A">
        <w:trPr>
          <w:trHeight w:hRule="exact" w:val="794"/>
        </w:trPr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2B1B" w:rsidRPr="001E30F7" w:rsidRDefault="006F2B1B" w:rsidP="00D8782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Default="006F2B1B" w:rsidP="00D878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2B1B" w:rsidRPr="00A85FE3" w:rsidRDefault="006F2B1B" w:rsidP="00D8782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2B1B" w:rsidRPr="001E30F7" w:rsidRDefault="006F2B1B" w:rsidP="00D8782A">
            <w:pPr>
              <w:jc w:val="right"/>
              <w:rPr>
                <w:b/>
                <w:sz w:val="20"/>
                <w:szCs w:val="20"/>
                <w:lang w:val="es-ES" w:eastAsia="es-ES"/>
              </w:rPr>
            </w:pPr>
            <w:r w:rsidRPr="001E30F7">
              <w:rPr>
                <w:b/>
                <w:sz w:val="20"/>
                <w:szCs w:val="20"/>
                <w:lang w:val="es-ES" w:eastAsia="es-ES"/>
              </w:rPr>
              <w:t>$ 15.562.120.-</w:t>
            </w:r>
          </w:p>
        </w:tc>
      </w:tr>
    </w:tbl>
    <w:p w:rsidR="006F2B1B" w:rsidRDefault="006F2B1B" w:rsidP="001F5A82">
      <w:pPr>
        <w:rPr>
          <w:rStyle w:val="textoNegrita"/>
        </w:rPr>
      </w:pPr>
    </w:p>
    <w:p w:rsidR="001F5A82" w:rsidRDefault="001F5A82" w:rsidP="001F5A82">
      <w:pPr>
        <w:rPr>
          <w:rStyle w:val="textoNegrita"/>
        </w:rPr>
      </w:pPr>
    </w:p>
    <w:p w:rsidR="001F5A82" w:rsidRDefault="001F5A82" w:rsidP="001F5A82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ARTÍCULO 2ª: </w:t>
      </w:r>
      <w:r w:rsidRPr="002656E1">
        <w:rPr>
          <w:rFonts w:ascii="Times New Roman" w:hAnsi="Times New Roman" w:cs="Times New Roman"/>
          <w:sz w:val="24"/>
          <w:szCs w:val="24"/>
          <w:lang w:val="es-ES"/>
        </w:rPr>
        <w:t xml:space="preserve">Regístrese; pase a la Secretaria General </w:t>
      </w:r>
      <w:r w:rsidRPr="002656E1">
        <w:rPr>
          <w:rFonts w:ascii="Times New Roman" w:hAnsi="Times New Roman" w:cs="Times New Roman"/>
          <w:sz w:val="24"/>
          <w:szCs w:val="24"/>
          <w:lang w:val="es-ES_tradnl"/>
        </w:rPr>
        <w:t xml:space="preserve">de Ciencia y Tecnología a los fines que corresponda; cumplido, </w:t>
      </w:r>
      <w:proofErr w:type="gramStart"/>
      <w:r w:rsidRPr="002656E1">
        <w:rPr>
          <w:rFonts w:ascii="Times New Roman" w:hAnsi="Times New Roman" w:cs="Times New Roman"/>
          <w:sz w:val="24"/>
          <w:szCs w:val="24"/>
          <w:lang w:val="es-ES_tradnl"/>
        </w:rPr>
        <w:t>archívese</w:t>
      </w:r>
      <w:r w:rsidRPr="002656E1">
        <w:rPr>
          <w:rFonts w:ascii="Times New Roman" w:hAnsi="Times New Roman" w:cs="Times New Roman"/>
          <w:sz w:val="24"/>
          <w:szCs w:val="24"/>
          <w:lang w:val="es-ES"/>
        </w:rPr>
        <w:t xml:space="preserve"> .</w:t>
      </w:r>
      <w:proofErr w:type="gramEnd"/>
      <w:r w:rsidRPr="002656E1">
        <w:rPr>
          <w:rFonts w:ascii="Times New Roman" w:hAnsi="Times New Roman" w:cs="Times New Roman"/>
          <w:sz w:val="24"/>
          <w:szCs w:val="24"/>
          <w:lang w:val="es-ES"/>
        </w:rPr>
        <w:t>------------------</w:t>
      </w:r>
      <w:r>
        <w:rPr>
          <w:rFonts w:ascii="Times New Roman" w:hAnsi="Times New Roman" w:cs="Times New Roman"/>
          <w:sz w:val="24"/>
          <w:szCs w:val="24"/>
          <w:lang w:val="es-ES"/>
        </w:rPr>
        <w:t>------------------------------------------------</w:t>
      </w:r>
    </w:p>
    <w:p w:rsidR="001F5A82" w:rsidRDefault="001F5A82" w:rsidP="001D386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1E30F7" w:rsidRPr="002656E1" w:rsidRDefault="001E30F7" w:rsidP="001D3861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930023" w:rsidRPr="002F75C5" w:rsidRDefault="00930023" w:rsidP="00FF11F9">
      <w:pPr>
        <w:rPr>
          <w:lang w:val="es-AR"/>
        </w:rPr>
      </w:pPr>
    </w:p>
    <w:sectPr w:rsidR="00930023" w:rsidRPr="002F75C5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D24" w:rsidRDefault="00093D24">
      <w:r>
        <w:separator/>
      </w:r>
    </w:p>
  </w:endnote>
  <w:endnote w:type="continuationSeparator" w:id="0">
    <w:p w:rsidR="00093D24" w:rsidRDefault="0009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D24" w:rsidRDefault="00093D24">
      <w:r>
        <w:separator/>
      </w:r>
    </w:p>
  </w:footnote>
  <w:footnote w:type="continuationSeparator" w:id="0">
    <w:p w:rsidR="00093D24" w:rsidRDefault="00093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66930"/>
    <w:multiLevelType w:val="hybridMultilevel"/>
    <w:tmpl w:val="2F16C6E6"/>
    <w:lvl w:ilvl="0" w:tplc="2C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ECE"/>
    <w:rsid w:val="00006B93"/>
    <w:rsid w:val="00031E5E"/>
    <w:rsid w:val="00032548"/>
    <w:rsid w:val="000327B8"/>
    <w:rsid w:val="00046DC2"/>
    <w:rsid w:val="000602B3"/>
    <w:rsid w:val="00067B7F"/>
    <w:rsid w:val="00083264"/>
    <w:rsid w:val="00093D24"/>
    <w:rsid w:val="000B1D7A"/>
    <w:rsid w:val="000B73E7"/>
    <w:rsid w:val="000C7AB6"/>
    <w:rsid w:val="00135B7A"/>
    <w:rsid w:val="0014025F"/>
    <w:rsid w:val="00146776"/>
    <w:rsid w:val="00184DE1"/>
    <w:rsid w:val="001A7563"/>
    <w:rsid w:val="001C08CF"/>
    <w:rsid w:val="001C37E7"/>
    <w:rsid w:val="001C46FB"/>
    <w:rsid w:val="001D3861"/>
    <w:rsid w:val="001E30F7"/>
    <w:rsid w:val="001F5A82"/>
    <w:rsid w:val="00207857"/>
    <w:rsid w:val="00210A80"/>
    <w:rsid w:val="002110DA"/>
    <w:rsid w:val="002122B8"/>
    <w:rsid w:val="00213AEA"/>
    <w:rsid w:val="00214603"/>
    <w:rsid w:val="002225C1"/>
    <w:rsid w:val="00230552"/>
    <w:rsid w:val="00232B00"/>
    <w:rsid w:val="00232BE9"/>
    <w:rsid w:val="002368D5"/>
    <w:rsid w:val="00237874"/>
    <w:rsid w:val="00246965"/>
    <w:rsid w:val="00260480"/>
    <w:rsid w:val="002656E1"/>
    <w:rsid w:val="002740A6"/>
    <w:rsid w:val="00282B61"/>
    <w:rsid w:val="00291CC9"/>
    <w:rsid w:val="0029533B"/>
    <w:rsid w:val="00297617"/>
    <w:rsid w:val="002A61DE"/>
    <w:rsid w:val="002A71AA"/>
    <w:rsid w:val="002D5860"/>
    <w:rsid w:val="002F6A9F"/>
    <w:rsid w:val="002F75C5"/>
    <w:rsid w:val="00317730"/>
    <w:rsid w:val="00325C79"/>
    <w:rsid w:val="00326EF1"/>
    <w:rsid w:val="00377941"/>
    <w:rsid w:val="00384819"/>
    <w:rsid w:val="00385E34"/>
    <w:rsid w:val="00387856"/>
    <w:rsid w:val="00393B90"/>
    <w:rsid w:val="00400C49"/>
    <w:rsid w:val="00412656"/>
    <w:rsid w:val="00417479"/>
    <w:rsid w:val="00440707"/>
    <w:rsid w:val="00442EEF"/>
    <w:rsid w:val="00445B1D"/>
    <w:rsid w:val="004477FB"/>
    <w:rsid w:val="00450898"/>
    <w:rsid w:val="00463A43"/>
    <w:rsid w:val="004749D3"/>
    <w:rsid w:val="00482274"/>
    <w:rsid w:val="00487EAF"/>
    <w:rsid w:val="004A3CD2"/>
    <w:rsid w:val="004D69A8"/>
    <w:rsid w:val="004E3481"/>
    <w:rsid w:val="004F4851"/>
    <w:rsid w:val="005126FD"/>
    <w:rsid w:val="00514200"/>
    <w:rsid w:val="00574AE3"/>
    <w:rsid w:val="00590DF0"/>
    <w:rsid w:val="0059277F"/>
    <w:rsid w:val="005B0534"/>
    <w:rsid w:val="005E0835"/>
    <w:rsid w:val="00610046"/>
    <w:rsid w:val="0063071F"/>
    <w:rsid w:val="00691833"/>
    <w:rsid w:val="00694E0B"/>
    <w:rsid w:val="006970EA"/>
    <w:rsid w:val="006B5641"/>
    <w:rsid w:val="006C3348"/>
    <w:rsid w:val="006E143C"/>
    <w:rsid w:val="006F2B1B"/>
    <w:rsid w:val="006F6874"/>
    <w:rsid w:val="007009A6"/>
    <w:rsid w:val="007050BE"/>
    <w:rsid w:val="00756A39"/>
    <w:rsid w:val="00763F8B"/>
    <w:rsid w:val="00776C2B"/>
    <w:rsid w:val="00776CE2"/>
    <w:rsid w:val="00790883"/>
    <w:rsid w:val="00794B7D"/>
    <w:rsid w:val="007C3EB6"/>
    <w:rsid w:val="008063BD"/>
    <w:rsid w:val="00815FAA"/>
    <w:rsid w:val="00816DB1"/>
    <w:rsid w:val="00820544"/>
    <w:rsid w:val="00824D3E"/>
    <w:rsid w:val="00833557"/>
    <w:rsid w:val="008578B7"/>
    <w:rsid w:val="00865F99"/>
    <w:rsid w:val="008B32A5"/>
    <w:rsid w:val="008C4798"/>
    <w:rsid w:val="008F11B6"/>
    <w:rsid w:val="0091404C"/>
    <w:rsid w:val="009218B3"/>
    <w:rsid w:val="00930023"/>
    <w:rsid w:val="0093202C"/>
    <w:rsid w:val="00957947"/>
    <w:rsid w:val="009602C2"/>
    <w:rsid w:val="00964F6C"/>
    <w:rsid w:val="00966670"/>
    <w:rsid w:val="00971EFD"/>
    <w:rsid w:val="0097213E"/>
    <w:rsid w:val="00981D2A"/>
    <w:rsid w:val="00987092"/>
    <w:rsid w:val="009B4E3E"/>
    <w:rsid w:val="009C6CD4"/>
    <w:rsid w:val="009C6E3C"/>
    <w:rsid w:val="009D24B6"/>
    <w:rsid w:val="009F10BC"/>
    <w:rsid w:val="009F5B79"/>
    <w:rsid w:val="00A0242F"/>
    <w:rsid w:val="00A170EF"/>
    <w:rsid w:val="00A7534D"/>
    <w:rsid w:val="00A9680B"/>
    <w:rsid w:val="00AA601F"/>
    <w:rsid w:val="00AC1FE6"/>
    <w:rsid w:val="00AC49BB"/>
    <w:rsid w:val="00AC5732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809CD"/>
    <w:rsid w:val="00B834A5"/>
    <w:rsid w:val="00B90BCD"/>
    <w:rsid w:val="00BA6F57"/>
    <w:rsid w:val="00BB0945"/>
    <w:rsid w:val="00BB3EE7"/>
    <w:rsid w:val="00BC0CE1"/>
    <w:rsid w:val="00BF4536"/>
    <w:rsid w:val="00C02E3C"/>
    <w:rsid w:val="00C079F8"/>
    <w:rsid w:val="00C175D1"/>
    <w:rsid w:val="00C22AAC"/>
    <w:rsid w:val="00C23602"/>
    <w:rsid w:val="00C3182E"/>
    <w:rsid w:val="00C33E91"/>
    <w:rsid w:val="00C43FA9"/>
    <w:rsid w:val="00C45781"/>
    <w:rsid w:val="00CB0C4D"/>
    <w:rsid w:val="00CC647D"/>
    <w:rsid w:val="00CC6AE7"/>
    <w:rsid w:val="00CF11B9"/>
    <w:rsid w:val="00CF7867"/>
    <w:rsid w:val="00D041AD"/>
    <w:rsid w:val="00D14B77"/>
    <w:rsid w:val="00D20FCD"/>
    <w:rsid w:val="00D21FDF"/>
    <w:rsid w:val="00D30FA3"/>
    <w:rsid w:val="00D33B1F"/>
    <w:rsid w:val="00D4386A"/>
    <w:rsid w:val="00D47543"/>
    <w:rsid w:val="00D54B9C"/>
    <w:rsid w:val="00DA6040"/>
    <w:rsid w:val="00DA6EE9"/>
    <w:rsid w:val="00DB2352"/>
    <w:rsid w:val="00DB4BD1"/>
    <w:rsid w:val="00DC4F3B"/>
    <w:rsid w:val="00DD6367"/>
    <w:rsid w:val="00E113C4"/>
    <w:rsid w:val="00E125F3"/>
    <w:rsid w:val="00E12C47"/>
    <w:rsid w:val="00E2014C"/>
    <w:rsid w:val="00E359C7"/>
    <w:rsid w:val="00E51D1C"/>
    <w:rsid w:val="00E57224"/>
    <w:rsid w:val="00EA6043"/>
    <w:rsid w:val="00EB50A7"/>
    <w:rsid w:val="00EB5A5C"/>
    <w:rsid w:val="00EC1810"/>
    <w:rsid w:val="00ED6243"/>
    <w:rsid w:val="00ED788F"/>
    <w:rsid w:val="00EE35E9"/>
    <w:rsid w:val="00EE45B1"/>
    <w:rsid w:val="00F20937"/>
    <w:rsid w:val="00F413AE"/>
    <w:rsid w:val="00F44C26"/>
    <w:rsid w:val="00F64373"/>
    <w:rsid w:val="00F66361"/>
    <w:rsid w:val="00F7050E"/>
    <w:rsid w:val="00F726D1"/>
    <w:rsid w:val="00F7355F"/>
    <w:rsid w:val="00F93723"/>
    <w:rsid w:val="00F97718"/>
    <w:rsid w:val="00FB3895"/>
    <w:rsid w:val="00FE366D"/>
    <w:rsid w:val="00FF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498D4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5C042-4041-4BCD-94FD-6E23D955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99</cp:revision>
  <cp:lastPrinted>2022-11-16T14:02:00Z</cp:lastPrinted>
  <dcterms:created xsi:type="dcterms:W3CDTF">2013-06-11T17:07:00Z</dcterms:created>
  <dcterms:modified xsi:type="dcterms:W3CDTF">2024-10-16T16:21:00Z</dcterms:modified>
</cp:coreProperties>
</file>