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60"/>
      </w:pPr>
      <w:r>
        <w:rPr>
          <w:b/>
          <w:bCs/>
          <w:color w:val="1F3864"/>
          <w:sz w:val="46"/>
          <w:szCs w:val="46"/>
        </w:rPr>
        <w:t xml:space="preserve">INTEX SRL</w:t>
      </w:r>
    </w:p>
    <w:p>
      <w:pPr>
        <w:spacing w:after="40"/>
      </w:pPr>
      <w:r>
        <w:rPr>
          <w:color w:val="595959"/>
          <w:sz w:val="24"/>
          <w:szCs w:val="24"/>
        </w:rPr>
        <w:t xml:space="preserve">Tintoria industriale · tinto in capo · conto terzi</w:t>
      </w:r>
    </w:p>
    <w:p>
      <w:pPr>
        <w:pBdr>
          <w:bottom w:val="single" w:color="C55A11" w:sz="18"/>
        </w:pBdr>
        <w:spacing w:after="280" w:before="200"/>
      </w:pPr>
    </w:p>
    <w:p>
      <w:pPr>
        <w:spacing w:after="80"/>
      </w:pPr>
      <w:r>
        <w:rPr>
          <w:b/>
          <w:bCs/>
          <w:color w:val="222222"/>
          <w:sz w:val="38"/>
          <w:szCs w:val="38"/>
        </w:rPr>
        <w:t xml:space="preserve">Relazione di test — Scorciatoie (ricerche predefinite)</w:t>
      </w:r>
    </w:p>
    <w:p>
      <w:pPr>
        <w:spacing w:after="80"/>
      </w:pPr>
      <w:r>
        <w:rPr>
          <w:b/>
          <w:bCs/>
          <w:color w:val="2E5496"/>
          <w:sz w:val="30"/>
          <w:szCs w:val="30"/>
        </w:rPr>
        <w:t xml:space="preserve">Applicativo doc2class.com</w:t>
      </w:r>
    </w:p>
    <w:p>
      <w:pPr>
        <w:spacing w:after="520"/>
      </w:pPr>
      <w:r>
        <w:rPr>
          <w:color w:val="595959"/>
          <w:sz w:val="23"/>
          <w:szCs w:val="23"/>
        </w:rPr>
        <w:t xml:space="preserve">Prove funzionali, esito e aspetti da correggere</w:t>
      </w:r>
    </w:p>
    <w:p>
      <w:pPr>
        <w:spacing w:after="40"/>
      </w:pPr>
      <w:r>
        <w:rPr>
          <w:i/>
          <w:iCs/>
          <w:color w:val="595959"/>
          <w:sz w:val="19"/>
          <w:szCs w:val="19"/>
        </w:rPr>
        <w:t xml:space="preserve">Ambiente di prova: dati reali INTEX · utente orazio.stangherlin@arcadia-consulting.it</w:t>
      </w:r>
    </w:p>
    <w:p>
      <w:pPr>
        <w:spacing w:after="40"/>
      </w:pPr>
      <w:r>
        <w:rPr>
          <w:color w:val="595959"/>
          <w:sz w:val="19"/>
          <w:szCs w:val="19"/>
        </w:rPr>
        <w:t xml:space="preserve">Data della prova: 26 agosto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Sintesi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Sono state provate, una alla volta, tutte le </w:t>
      </w:r>
      <w:r>
        <w:rPr>
          <w:b/>
          <w:bCs/>
          <w:color w:val="222222"/>
          <w:sz w:val="21"/>
          <w:szCs w:val="21"/>
        </w:rPr>
        <w:t xml:space="preserve">15 scorciatoie</w:t>
      </w:r>
      <w:r>
        <w:rPr>
          <w:color w:val="222222"/>
          <w:sz w:val="21"/>
          <w:szCs w:val="21"/>
        </w:rPr>
        <w:t xml:space="preserve"> (ricerche predefinite) presenti nel pannello destro di doc2class, cliccandole direttamente nell'applicativo e verificando la correttezza dei risultati restituiti. La prova ha riguardato sia il </w:t>
      </w:r>
      <w:r>
        <w:rPr>
          <w:b/>
          <w:bCs/>
          <w:color w:val="222222"/>
          <w:sz w:val="21"/>
          <w:szCs w:val="21"/>
        </w:rPr>
        <w:t xml:space="preserve">funzionamento</w:t>
      </w:r>
      <w:r>
        <w:rPr>
          <w:color w:val="222222"/>
          <w:sz w:val="21"/>
          <w:szCs w:val="21"/>
        </w:rPr>
        <w:t xml:space="preserve"> (la scorciatoia apre la vista giusta) sia la </w:t>
      </w:r>
      <w:r>
        <w:rPr>
          <w:b/>
          <w:bCs/>
          <w:color w:val="222222"/>
          <w:sz w:val="21"/>
          <w:szCs w:val="21"/>
        </w:rPr>
        <w:t xml:space="preserve">correttezza del dato</w:t>
      </w:r>
      <w:r>
        <w:rPr>
          <w:color w:val="222222"/>
          <w:sz w:val="21"/>
          <w:szCs w:val="21"/>
        </w:rPr>
        <w:t xml:space="preserve"> (i risultati sono coerenti e verificabili).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Esito complessivo: </w:t>
      </w:r>
      <w:r>
        <w:rPr>
          <w:b/>
          <w:bCs/>
          <w:color w:val="1E7F4F"/>
          <w:sz w:val="21"/>
          <w:szCs w:val="21"/>
        </w:rPr>
        <w:t xml:space="preserve">11 scorciatoie su 15 restituiscono risultati corretti</w:t>
      </w:r>
      <w:r>
        <w:rPr>
          <w:color w:val="222222"/>
          <w:sz w:val="21"/>
          <w:szCs w:val="21"/>
        </w:rPr>
        <w:t xml:space="preserve">; </w:t>
      </w:r>
      <w:r>
        <w:rPr>
          <w:b/>
          <w:bCs/>
          <w:color w:val="B02418"/>
          <w:sz w:val="21"/>
          <w:szCs w:val="21"/>
        </w:rPr>
        <w:t xml:space="preserve">3 report di produzione presentano problemi</w:t>
      </w:r>
      <w:r>
        <w:rPr>
          <w:color w:val="222222"/>
          <w:sz w:val="21"/>
          <w:szCs w:val="21"/>
        </w:rPr>
        <w:t xml:space="preserve"> (lead time e volume settimanale) e </w:t>
      </w:r>
      <w:r>
        <w:rPr>
          <w:b/>
          <w:bCs/>
          <w:color w:val="B26A00"/>
          <w:sz w:val="21"/>
          <w:szCs w:val="21"/>
        </w:rPr>
        <w:t xml:space="preserve">1 area è funzionante ma con dati d'origine da ripulire</w:t>
      </w:r>
      <w:r>
        <w:rPr>
          <w:color w:val="222222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EDF1F7" w:sz="2"/>
          <w:left w:val="single" w:color="C55A11" w:sz="24"/>
          <w:bottom w:val="single" w:color="EDF1F7" w:sz="2"/>
          <w:right w:val="single" w:color="EDF1F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In breve.  </w:t>
            </w:r>
            <w:r>
              <w:rPr>
                <w:color w:val="222222"/>
                <w:sz w:val="21"/>
                <w:szCs w:val="21"/>
              </w:rPr>
              <w:t xml:space="preserve">Le ricerche documentali (fatture, bolle, cartellini) e le analisi sui clienti funzionano e sono verificate anche numericamente. I problemi si concentrano nella scheda Analisi › Produzione: lead time con valori non plausibili e confronto volumi anno-su-anno non popolato.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Metodologia della prova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Le prove sono state eseguite accedendo all'applicativo con le credenziali dell'utente indicato, sull'ambiente con dati reali INTEX. Per ciascuna scorciatoia: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color w:val="222222"/>
          <w:sz w:val="21"/>
          <w:szCs w:val="21"/>
        </w:rPr>
        <w:t xml:space="preserve">si è cliccata la scorciatoia nel pannello "Scorciatoie Domande";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color w:val="222222"/>
          <w:sz w:val="21"/>
          <w:szCs w:val="21"/>
        </w:rPr>
        <w:t xml:space="preserve">si è verificato che l'assistente aprisse la sezione o il report corretti;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color w:val="222222"/>
          <w:sz w:val="21"/>
          <w:szCs w:val="21"/>
        </w:rPr>
        <w:t xml:space="preserve">si sono esaminati i risultati (righe, conteggi, importi) restituiti.</w:t>
      </w:r>
    </w:p>
    <w:p>
      <w:pPr>
        <w:spacing w:after="60" w:line="276"/>
      </w:pPr>
      <w:r>
        <w:rPr>
          <w:color w:val="222222"/>
          <w:sz w:val="21"/>
          <w:szCs w:val="21"/>
        </w:rPr>
        <w:t xml:space="preserve">Dove possibile, la correttezza è stata verificata in modo indipendente: incrocio tra documenti (bolla ↔ fattura), coerenza tra filtri applicati e righe mostrate, e ricalcolo dei valori aggregati (per esempio la somma dei fatturati mensili confrontata con il totale a 12 mesi, e la quota dei primi 5 clienti ricalcolata dai singoli fatturati).</w:t>
      </w:r>
    </w:p>
    <w:p>
      <w:pPr>
        <w:spacing w:after="60" w:line="276"/>
      </w:pPr>
      <w:r>
        <w:rPr>
          <w:i/>
          <w:iCs/>
          <w:color w:val="595959"/>
          <w:sz w:val="21"/>
          <w:szCs w:val="21"/>
        </w:rPr>
        <w:t xml:space="preserve">Nota: il pannello contiene anche un pulsante "Apri assistente DDT", che non è una ricerca ma apre la scheda Assistente DDT; è stato quindi escluso dal test delle ricerche.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Quadro riepilogativo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Ricerche documentali</w:t>
      </w:r>
    </w:p>
    <w:tbl>
      <w:tblPr>
        <w:tblW w:type="dxa" w:w="9520"/>
        <w:tblBorders>
          <w:top w:val="single" w:color="BFCADA" w:sz="2"/>
          <w:left w:val="single" w:color="BFCADA" w:sz="2"/>
          <w:bottom w:val="single" w:color="BFCADA" w:sz="2"/>
          <w:right w:val="single" w:color="BFCADA" w:sz="2"/>
          <w:insideH w:val="single" w:color="D9E1EC" w:sz="2"/>
          <w:insideV w:val="single" w:color="D9E1EC" w:sz="2"/>
        </w:tblBorders>
      </w:tblPr>
      <w:tblGrid>
        <w:gridCol w:w="560"/>
        <w:gridCol w:w="3400"/>
        <w:gridCol w:w="4200"/>
        <w:gridCol w:w="136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Scorciatoia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Risultato osservato</w:t>
            </w:r>
          </w:p>
        </w:tc>
        <w:tc>
          <w:tcPr>
            <w:tcW w:type="dxa" w:w="1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Fatture PRIMA SRL tra gennaio e marzo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Fatture, PRIMA (2618) dal 16/01 al 31/03/2026 — 9 fatture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Tutte le fatture di PRIMA SRL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Fatture, PRIMA (2618) — 16 fatture (le 9 della #1 incluse)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Bolle/DDT di PRIMA SRL a marzo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Bolle/DDT, PRIMA + marzo 2026 — 2 bolle; righe collegate coerenti con le fatture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Cartellini di Zanuso stagione PE2026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Ordini/Cartellino — 14 record, tutti ZANUSO (1071) e PE2026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Confronto ordine/bolla/fattura di PRIMA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Apre Auditing Confronto con PRIMA (2618) e tabella di confronto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</w:tbl>
    <w:p>
      <w:pPr>
        <w:spacing w:after="60"/>
      </w:pP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Analisi clienti</w:t>
      </w:r>
    </w:p>
    <w:tbl>
      <w:tblPr>
        <w:tblW w:type="dxa" w:w="9520"/>
        <w:tblBorders>
          <w:top w:val="single" w:color="BFCADA" w:sz="2"/>
          <w:left w:val="single" w:color="BFCADA" w:sz="2"/>
          <w:bottom w:val="single" w:color="BFCADA" w:sz="2"/>
          <w:right w:val="single" w:color="BFCADA" w:sz="2"/>
          <w:insideH w:val="single" w:color="D9E1EC" w:sz="2"/>
          <w:insideV w:val="single" w:color="D9E1EC" w:sz="2"/>
        </w:tblBorders>
      </w:tblPr>
      <w:tblGrid>
        <w:gridCol w:w="560"/>
        <w:gridCol w:w="3400"/>
        <w:gridCol w:w="4200"/>
        <w:gridCol w:w="136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Scorciatoia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Risultato osservato</w:t>
            </w:r>
          </w:p>
        </w:tc>
        <w:tc>
          <w:tcPr>
            <w:tcW w:type="dxa" w:w="1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Andamento fatturato ultimi 24 mesi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Grafico 24 mesi; somma 12 mesi = 5.366.309,85 € (= totale mostrato)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Incidenza dei 5 clienti principali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Quota top 5 = 43,69% (ricalcolo confermato)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Top 10 clienti per fatturato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Classifica con quote coerenti (Jacob Cohen 20,88%…)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Clienti in erosione / calo ordini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Elenco prodotto; Δ giorni molto estremi su clienti con pochi ordini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DA VERIFICARE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Clienti fermi da oltre 90 giorni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Elenco coerente, tutti effettivamente &gt; 90 giorni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Clienti acquisiti negli ultimi 12 mesi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Elenco corretto; presente 1 record con data errata ("2202")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DA VERIFICARE</w:t>
            </w:r>
          </w:p>
        </w:tc>
      </w:tr>
    </w:tbl>
    <w:p>
      <w:pPr>
        <w:spacing w:after="60"/>
      </w:pP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Analisi produzione</w:t>
      </w:r>
    </w:p>
    <w:tbl>
      <w:tblPr>
        <w:tblW w:type="dxa" w:w="9520"/>
        <w:tblBorders>
          <w:top w:val="single" w:color="BFCADA" w:sz="2"/>
          <w:left w:val="single" w:color="BFCADA" w:sz="2"/>
          <w:bottom w:val="single" w:color="BFCADA" w:sz="2"/>
          <w:right w:val="single" w:color="BFCADA" w:sz="2"/>
          <w:insideH w:val="single" w:color="D9E1EC" w:sz="2"/>
          <w:insideV w:val="single" w:color="D9E1EC" w:sz="2"/>
        </w:tblBorders>
      </w:tblPr>
      <w:tblGrid>
        <w:gridCol w:w="560"/>
        <w:gridCol w:w="3400"/>
        <w:gridCol w:w="4200"/>
        <w:gridCol w:w="136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Scorciatoia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Risultato osservato</w:t>
            </w:r>
          </w:p>
        </w:tc>
        <w:tc>
          <w:tcPr>
            <w:tcW w:type="dxa" w:w="1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Lead time medio mensile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2024 ~13–18 gg (plausibile); 2026 ~254–345 gg (non plausibile); 2025 incompleto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2418"/>
                <w:sz w:val="16"/>
                <w:szCs w:val="16"/>
              </w:rPr>
              <w:t xml:space="preserve">DA CORREGGERE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Ordini con lead time più lungo (ultimo trimestre)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Elenca cartellini del 2024 con 800–840 gg: scoping/etichetta incoerente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2418"/>
                <w:sz w:val="16"/>
                <w:szCs w:val="16"/>
              </w:rPr>
              <w:t xml:space="preserve">DA CORREGGERE</w:t>
            </w:r>
          </w:p>
        </w:tc>
      </w:tr>
      <w:tr>
        <w:tc>
          <w:tcPr>
            <w:tcW w:type="dxa" w:w="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Picchi di volume mensile (kg e capi)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Valori plausibili e coerenti (kg e capi correlati)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F4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Volume settimanale anno su anno</w:t>
            </w:r>
          </w:p>
        </w:tc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Colonna "anno precedente" non popolata; settimane disallineate/duplicate</w:t>
            </w:r>
          </w:p>
        </w:tc>
        <w:tc>
          <w:tcPr>
            <w:tcW w:type="dxa" w:w="136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2418"/>
                <w:sz w:val="16"/>
                <w:szCs w:val="16"/>
              </w:rPr>
              <w:t xml:space="preserve">DA CORREGGERE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Dettaglio delle verifiche riuscite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Ricerche documentali (1, 2, 5, 7, 9)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Ogni scorciatoia ha impostato correttamente i filtri e aperto la scheda pertinente. Elementi di conferma: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222222"/>
          <w:sz w:val="21"/>
          <w:szCs w:val="21"/>
        </w:rPr>
        <w:t xml:space="preserve">Coerenza tra ricerche — </w:t>
      </w:r>
      <w:r>
        <w:rPr>
          <w:color w:val="222222"/>
          <w:sz w:val="21"/>
          <w:szCs w:val="21"/>
        </w:rPr>
        <w:t xml:space="preserve">le 9 fatture della #1 (gen–mar 2026) sono un sottoinsieme delle 16 della #2 (tutte le fatture PRIMA): coerenza tra le due ricerche.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222222"/>
          <w:sz w:val="21"/>
          <w:szCs w:val="21"/>
        </w:rPr>
        <w:t xml:space="preserve">Incrocio documenti — </w:t>
      </w:r>
      <w:r>
        <w:rPr>
          <w:color w:val="222222"/>
          <w:sz w:val="21"/>
          <w:szCs w:val="21"/>
        </w:rPr>
        <w:t xml:space="preserve">nella #5, la bolla 2457 di PRIMA (31/03/2026) riporta come righe collegate 1198 e 2592, che corrispondono esattamente a due fatture PRIMA di marzo viste nelle #1/#2.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222222"/>
          <w:sz w:val="21"/>
          <w:szCs w:val="21"/>
        </w:rPr>
        <w:t xml:space="preserve">Filtri applicati — </w:t>
      </w:r>
      <w:r>
        <w:rPr>
          <w:color w:val="222222"/>
          <w:sz w:val="21"/>
          <w:szCs w:val="21"/>
        </w:rPr>
        <w:t xml:space="preserve">nella #7 tutte le 14 righe risultano cliente ZANUSO e stagione Primavera/Estate 2026, coerenti con la richiesta.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Analisi clienti (10, 11, 12, 14)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Le analisi sono state verificate anche con il ricalcolo dei valori aggregati: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222222"/>
          <w:sz w:val="21"/>
          <w:szCs w:val="21"/>
        </w:rPr>
        <w:t xml:space="preserve">Fatturato (#10) — </w:t>
      </w:r>
      <w:r>
        <w:rPr>
          <w:color w:val="222222"/>
          <w:sz w:val="21"/>
          <w:szCs w:val="21"/>
        </w:rPr>
        <w:t xml:space="preserve">la somma dei 12 fatturati mensili (ago 2025 – lug 2026) è pari a 5.366.309,85 €, identica al "Fatturato totale 12m" indicato dall'applicativo.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222222"/>
          <w:sz w:val="21"/>
          <w:szCs w:val="21"/>
        </w:rPr>
        <w:t xml:space="preserve">Concentrazione (#11) — </w:t>
      </w:r>
      <w:r>
        <w:rPr>
          <w:color w:val="222222"/>
          <w:sz w:val="21"/>
          <w:szCs w:val="21"/>
        </w:rPr>
        <w:t xml:space="preserve">la quota dei primi 5 clienti (43,69%) coincide con il rapporto tra la somma dei loro fatturati e il totale a 12 mesi.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222222"/>
          <w:sz w:val="21"/>
          <w:szCs w:val="21"/>
        </w:rPr>
        <w:t xml:space="preserve">Classifiche (#12, #14) — </w:t>
      </w:r>
      <w:r>
        <w:rPr>
          <w:color w:val="222222"/>
          <w:sz w:val="21"/>
          <w:szCs w:val="21"/>
        </w:rPr>
        <w:t xml:space="preserve">le percentuali della classifica Top 10 (#12) sono coerenti con i fatturati indicati; i clienti dormienti (#14) risultano tutti effettivamente oltre i 90 giorni.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Aspetti da correggere</w:t>
      </w:r>
    </w:p>
    <w:p>
      <w:pPr>
        <w:spacing w:after="80" w:line="276"/>
      </w:pPr>
      <w:r>
        <w:rPr>
          <w:color w:val="222222"/>
          <w:sz w:val="21"/>
          <w:szCs w:val="21"/>
        </w:rPr>
        <w:t xml:space="preserve">Di seguito i problemi riscontrati, in ordine di priorità, con indicazione dell'effetto per l'utente.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5.1  Lead time medio mensile (#16) — Alta priorità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 giorni medi tra ordine e consegna passano da valori plausibili nel 2024 (</w:t>
      </w:r>
      <w:r>
        <w:rPr>
          <w:b/>
          <w:bCs/>
          <w:color w:val="222222"/>
          <w:sz w:val="21"/>
          <w:szCs w:val="21"/>
        </w:rPr>
        <w:t xml:space="preserve">13–18 giorni</w:t>
      </w:r>
      <w:r>
        <w:rPr>
          <w:color w:val="222222"/>
          <w:sz w:val="21"/>
          <w:szCs w:val="21"/>
        </w:rPr>
        <w:t xml:space="preserve">) a valori non credibili nel 2026 (</w:t>
      </w:r>
      <w:r>
        <w:rPr>
          <w:b/>
          <w:bCs/>
          <w:color w:val="222222"/>
          <w:sz w:val="21"/>
          <w:szCs w:val="21"/>
        </w:rPr>
        <w:t xml:space="preserve">254–345 giorni</w:t>
      </w:r>
      <w:r>
        <w:rPr>
          <w:color w:val="222222"/>
          <w:sz w:val="21"/>
          <w:szCs w:val="21"/>
        </w:rPr>
        <w:t xml:space="preserve">), con i mesi del 2025 quasi assenti (conteggi ordini pari a 1–43). L'andamento non è attendibile.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C55A11"/>
          <w:sz w:val="21"/>
          <w:szCs w:val="21"/>
        </w:rPr>
        <w:t xml:space="preserve">Da fare — </w:t>
      </w:r>
      <w:r>
        <w:rPr>
          <w:color w:val="222222"/>
          <w:sz w:val="21"/>
          <w:szCs w:val="21"/>
        </w:rPr>
        <w:t xml:space="preserve">verificare l'abbinamento data ordine ↔ data consegna e la presenza di date segnaposto o errate che gonfiano il calcolo; controllare perché i mesi 2025 risultano incompleti.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5.2  Lead time più lunghi — ultimo trimestre (#17) — Alta priorità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Sotto l'etichetta "ultimo trimestre" vengono elencati cartellini del </w:t>
      </w:r>
      <w:r>
        <w:rPr>
          <w:b/>
          <w:bCs/>
          <w:color w:val="222222"/>
          <w:sz w:val="21"/>
          <w:szCs w:val="21"/>
        </w:rPr>
        <w:t xml:space="preserve">2024</w:t>
      </w:r>
      <w:r>
        <w:rPr>
          <w:color w:val="222222"/>
          <w:sz w:val="21"/>
          <w:szCs w:val="21"/>
        </w:rPr>
        <w:t xml:space="preserve"> con lead time di </w:t>
      </w:r>
      <w:r>
        <w:rPr>
          <w:b/>
          <w:bCs/>
          <w:color w:val="222222"/>
          <w:sz w:val="21"/>
          <w:szCs w:val="21"/>
        </w:rPr>
        <w:t xml:space="preserve">800–840 giorni</w:t>
      </w:r>
      <w:r>
        <w:rPr>
          <w:color w:val="222222"/>
          <w:sz w:val="21"/>
          <w:szCs w:val="21"/>
        </w:rPr>
        <w:t xml:space="preserve">. C'è incoerenza tra il periodo dichiarato e i record mostrati, verosimilmente legata alla stessa anomalia di calcolo del punto 5.1.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C55A11"/>
          <w:sz w:val="21"/>
          <w:szCs w:val="21"/>
        </w:rPr>
        <w:t xml:space="preserve">Da fare — </w:t>
      </w:r>
      <w:r>
        <w:rPr>
          <w:color w:val="222222"/>
          <w:sz w:val="21"/>
          <w:szCs w:val="21"/>
        </w:rPr>
        <w:t xml:space="preserve">allineare il filtro temporale ("ultimo trimestre") ai record effettivamente mostrati e correggere il calcolo del lead time.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5.3  Volume settimanale anno su anno (#19) — Alta priorità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Il confronto non funziona: la colonna </w:t>
      </w:r>
      <w:r>
        <w:rPr>
          <w:b/>
          <w:bCs/>
          <w:color w:val="222222"/>
          <w:sz w:val="21"/>
          <w:szCs w:val="21"/>
        </w:rPr>
        <w:t xml:space="preserve">"KG anno precedente"</w:t>
      </w:r>
      <w:r>
        <w:rPr>
          <w:color w:val="222222"/>
          <w:sz w:val="21"/>
          <w:szCs w:val="21"/>
        </w:rPr>
        <w:t xml:space="preserve"> è quasi sempre vuota, le settimane dell'anno corrente e precedente </w:t>
      </w:r>
      <w:r>
        <w:rPr>
          <w:b/>
          <w:bCs/>
          <w:color w:val="222222"/>
          <w:sz w:val="21"/>
          <w:szCs w:val="21"/>
        </w:rPr>
        <w:t xml:space="preserve">non sono allineate</w:t>
      </w:r>
      <w:r>
        <w:rPr>
          <w:color w:val="222222"/>
          <w:sz w:val="21"/>
          <w:szCs w:val="21"/>
        </w:rPr>
        <w:t xml:space="preserve"> e alcune settimane compaiono duplicate. Il report non consente di confrontare i volumi con l'anno prima.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C55A11"/>
          <w:sz w:val="21"/>
          <w:szCs w:val="21"/>
        </w:rPr>
        <w:t xml:space="preserve">Da fare — </w:t>
      </w:r>
      <w:r>
        <w:rPr>
          <w:color w:val="222222"/>
          <w:sz w:val="21"/>
          <w:szCs w:val="21"/>
        </w:rPr>
        <w:t xml:space="preserve">correggere l'allineamento per numero di settimana tra anno corrente e precedente e popolare la colonna dell'anno precedente; eliminare le righe duplicate.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5.4  Qualità dei dati d'origine — Media priorità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In più punti affiorano </w:t>
      </w:r>
      <w:r>
        <w:rPr>
          <w:b/>
          <w:bCs/>
          <w:color w:val="222222"/>
          <w:sz w:val="21"/>
          <w:szCs w:val="21"/>
        </w:rPr>
        <w:t xml:space="preserve">date errate nel gestionale</w:t>
      </w:r>
      <w:r>
        <w:rPr>
          <w:color w:val="222222"/>
          <w:sz w:val="21"/>
          <w:szCs w:val="21"/>
        </w:rPr>
        <w:t xml:space="preserve"> (per esempio l'anno "2202"), visibili in cima a "Clienti nuovi" (#15) e tra gli ordini. Non è un difetto dell'applicativo, ma altera ordinamenti e conteggi.</w:t>
      </w:r>
    </w:p>
    <w:p>
      <w:pPr>
        <w:pStyle w:val="ListParagraph"/>
        <w:numPr>
          <w:ilvl w:val="0"/>
          <w:numId w:val="2"/>
        </w:numPr>
        <w:spacing w:after="66" w:line="270"/>
      </w:pPr>
      <w:r>
        <w:rPr>
          <w:b/>
          <w:bCs/>
          <w:color w:val="C55A11"/>
          <w:sz w:val="21"/>
          <w:szCs w:val="21"/>
        </w:rPr>
        <w:t xml:space="preserve">Da fare — </w:t>
      </w:r>
      <w:r>
        <w:rPr>
          <w:color w:val="222222"/>
          <w:sz w:val="21"/>
          <w:szCs w:val="21"/>
        </w:rPr>
        <w:t xml:space="preserve">bonificare le date anomale nel gestionale e/o filtrarle a monte nell'applicativo.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5.5  Segnali di erosione su clienti con pochi ordini (#13) — Bassa priorità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Alcuni valori di "giorni tra ordini" risultano estremi (migliaia di giorni o percentuali molto elevate) per clienti con uno o due ordini: il dato è matematicamente corretto ma poco significativo. Utile prevedere una soglia minima di ordini per comparire nell'elenco a rischio.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5.6  Coerenza dell'interfaccia (#7) — Bassa priorità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Nella ricerca dei cartellini di Zanuso per stagione PE2026 i risultati sono corretti, ma il menù a tendina "Stagione" continua a mostrare "Tutte le stagioni" pur essendo il filtro applicato. Allineare l'indicazione del filtro a ciò che è effettivamente attivo.</w:t>
      </w:r>
    </w:p>
    <w:p>
      <w:pPr>
        <w:pStyle w:val="Heading3"/>
        <w:spacing w:after="70" w:before="170"/>
      </w:pPr>
      <w:r>
        <w:rPr>
          <w:b/>
          <w:bCs/>
          <w:color w:val="C55A11"/>
          <w:sz w:val="22"/>
          <w:szCs w:val="22"/>
        </w:rPr>
        <w:t xml:space="preserve">5.7  Disambiguazione del cliente — Nota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Le richieste su "PRIMA SRL" vengono risolte sempre sul codice 2618, mentre in anagrafica esistono più ragioni sociali "PRIMA" (es. 594, 1391). Il comportamento è ragionevole, ma è bene esplicitare all'utente quale cliente è stato selezionato o offrire la scelta in caso di omonimia.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Conclusioni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Le funzioni di ricerca documentale e le analisi sui clienti sono affidabili e verificate anche numericamente: rappresentano il nucleo solido dell'applicativo. Gli interventi prioritari riguardano la scheda Analisi › Produzione — in particolare il calcolo del lead time (#16 e #17) e il confronto dei volumi settimanali anno su anno (#19) — oltre alla bonifica delle date anomale nei dati d'origine. Risolti questi punti, l'insieme delle scorciatoie risulterebbe pienamente attendibile per direzione, produzione e amministrazione.</w:t>
      </w:r>
    </w:p>
    <w:p>
      <w:pPr>
        <w:pBdr>
          <w:top w:val="single" w:color="BFCADA" w:sz="8"/>
        </w:pBdr>
        <w:spacing w:before="200"/>
      </w:pPr>
    </w:p>
    <w:p>
      <w:pPr>
        <w:spacing w:after="0" w:line="276"/>
      </w:pPr>
      <w:r>
        <w:rPr>
          <w:i/>
          <w:iCs/>
          <w:color w:val="595959"/>
          <w:sz w:val="18"/>
          <w:szCs w:val="18"/>
        </w:rPr>
        <w:t xml:space="preserve">Relazione di test — INTEX SRL · applicativo doc2class.com. Prove eseguite su dati reali dell'ambiente INTEX in data 26 agosto 2026.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INTEX SRL · doc2class.com — Relazione test scorciatoie   |   </w:t>
    </w:r>
    <w:r>
      <w:rPr>
        <w:color w:val="59595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5A1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test scorciatoie doc2class</dc:title>
  <dc:creator>INTEX SRL</dc:creator>
  <cp:lastModifiedBy>Un-named</cp:lastModifiedBy>
  <cp:revision>1</cp:revision>
  <dcterms:created xsi:type="dcterms:W3CDTF">2026-08-26T12:52:05.055Z</dcterms:created>
  <dcterms:modified xsi:type="dcterms:W3CDTF">2026-08-26T12:52:05.071Z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