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37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Eurostat develops I-O matrices at basic prices (product by product). The structure of IES derives from an aggregation of NACE classification.</w:t>
      </w:r>
    </w:p>
    <w:p>
      <w:pPr>
        <w:pStyle w:val="BodyText"/>
      </w:pPr>
      <w:r>
        <w:t xml:space="preserve">IES is then represented as a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I-O matrix;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how much system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sold to system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BodyText"/>
      </w:pPr>
      <w:r>
        <w:t xml:space="preserve">FIGURE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can be normalised into a proportion through the columns:</w:t>
      </w:r>
    </w:p>
    <w:p>
      <w:pPr>
        <w:pStyle w:val="BodyText"/>
      </w:pPr>
      <w:bookmarkStart w:id="20" w:name="eq-a"/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t xml:space="preserve">where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is the sum of the row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; or through the rows:</w:t>
      </w:r>
    </w:p>
    <w:p>
      <w:pPr>
        <w:pStyle w:val="BodyText"/>
      </w:pPr>
      <w:bookmarkStart w:id="21" w:name="eq-b"/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1"/>
    </w:p>
    <w:p>
      <w:pPr>
        <w:pStyle w:val="FirstParagraph"/>
      </w:pPr>
      <w:r>
        <w:t xml:space="preserve">where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is the sum of the column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the proportion of how much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buys from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compared to other</w:t>
      </w:r>
      <w:r>
        <w:t xml:space="preserve"> </w:t>
      </w:r>
      <m:oMath>
        <m:r>
          <m:t>i</m:t>
        </m:r>
      </m:oMath>
      <w:r>
        <w:t xml:space="preserve">-sellers.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the proportion of how much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sells 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among the</w:t>
      </w:r>
      <w:r>
        <w:t xml:space="preserve"> </w:t>
      </w:r>
      <m:oMath>
        <m:r>
          <m:t>j</m:t>
        </m:r>
      </m:oMath>
      <w:r>
        <w:t xml:space="preserve">-buyers of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From this matrix, four indicators of the generic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system are derived: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Size</w:t>
      </w:r>
      <w:r>
        <w:t xml:space="preserve">:</w:t>
      </w:r>
    </w:p>
    <w:p>
      <w:pPr>
        <w:pStyle w:val="FirstParagraph"/>
      </w:pPr>
      <w:bookmarkStart w:id="22" w:name="eq-size"/>
      <w:r>
        <w:t xml:space="preserve">$$
    \text{SIZE}(Y) = \frac{
      \Bigl[ \sum\limits_{j} x_{i,j} \mid (i = Y)\Bigr] +
      \Bigl[ \sum\limits_{i} x_{i,j} \mid (j = Y)\Bigr] }
      {2 \cdot \sum X}
 \qquad(3)$$</w:t>
      </w:r>
      <w:bookmarkEnd w:id="22"/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X</m:t>
        </m:r>
      </m:oMath>
      <w:r>
        <w:t xml:space="preserve"> </w:t>
      </w:r>
      <w:r>
        <w:t xml:space="preserve">is the sum of all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∈</m:t>
        </m:r>
        <m:r>
          <m:t>X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Self-reliance</w:t>
      </w:r>
      <w:r>
        <w:t xml:space="preserve">:</w:t>
      </w:r>
    </w:p>
    <w:p>
      <w:pPr>
        <w:pStyle w:val="FirstParagraph"/>
      </w:pPr>
      <w:bookmarkStart w:id="23" w:name="eq-self"/>
      <m:oMathPara>
        <m:oMathParaPr>
          <m:jc m:val="center"/>
        </m:oMathParaPr>
        <m:oMath>
          <m:r>
            <m:rPr>
              <m:nor/>
              <m:sty m:val="p"/>
            </m:rPr>
            <m:t>SELF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∣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j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3"/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Ubiquity</w:t>
      </w:r>
      <w:r>
        <w:t xml:space="preserve">:</w:t>
      </w:r>
    </w:p>
    <w:p>
      <w:pPr>
        <w:pStyle w:val="FirstParagraph"/>
      </w:pPr>
      <w:bookmarkStart w:id="24" w:name="eq-ubiq"/>
      <w:r>
        <w:t xml:space="preserve">$$
  \text{UBIQ}(Y) = \Bigl(\sum\limits_{j} b_{i,j}^2\Bigr)^{-1} \mid Y = i
 \qquad(5)$$</w:t>
      </w:r>
      <w:bookmarkEnd w:id="24"/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Financial Parity</w:t>
      </w:r>
      <w:r>
        <w:t xml:space="preserve">:</w:t>
      </w:r>
    </w:p>
    <w:p>
      <w:pPr>
        <w:pStyle w:val="FirstParagraph"/>
      </w:pPr>
      <w:bookmarkStart w:id="25" w:name="eq-prty"/>
      <w:r>
        <w:t xml:space="preserve">$$ 
\text{PRTY}(Y) = \Bigl(\sum\limits_{i} a_{i,j}^2\Bigr)^{-1} \mid Y = j
 \qquad(6)$$</w:t>
      </w:r>
      <w:bookmarkEnd w:id="25"/>
    </w:p>
    <w:p>
      <w:pPr>
        <w:pStyle w:val="FirstParagraph"/>
      </w:pPr>
      <w:hyperlink w:anchor="eq-ubiq">
        <w:r>
          <w:rPr>
            <w:rStyle w:val="Hyperlink"/>
          </w:rPr>
          <w:t xml:space="preserve">Equation 5</w:t>
        </w:r>
      </w:hyperlink>
      <w:r>
        <w:t xml:space="preserve"> </w:t>
      </w:r>
      <w:r>
        <w:t xml:space="preserve">and</w:t>
      </w:r>
      <w:r>
        <w:t xml:space="preserve"> </w:t>
      </w:r>
      <w:hyperlink w:anchor="eq-prty">
        <w:r>
          <w:rPr>
            <w:rStyle w:val="Hyperlink"/>
          </w:rPr>
          <w:t xml:space="preserve">Equation 6</w:t>
        </w:r>
      </w:hyperlink>
      <w:r>
        <w:t xml:space="preserve"> </w:t>
      </w:r>
      <w:r>
        <w:t xml:space="preserve">are reciprocals of the Repeat Rates of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, hence as demonstrated in Appendix XXX, these measures are specifications of the general function of</w:t>
      </w:r>
      <w:r>
        <w:t xml:space="preserve"> </w:t>
      </w:r>
      <w:r>
        <w:t xml:space="preserve">“</w:t>
      </w:r>
      <w:r>
        <w:t xml:space="preserve">Ecological Diversity</w:t>
      </w:r>
      <w:r>
        <w:t xml:space="preserve">”</w:t>
      </w:r>
      <w:r>
        <w:t xml:space="preserve"> </w:t>
      </w:r>
      <w:r>
        <w:t xml:space="preserve">and they measure how balanced is the diversification of the input-output fluxes. In particular, Ubiquity is a measure of balanced diversification in how much other ecosystems demand goods and services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Financial Parity is a measure of balanced diversification in how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allocates its budget of expenditure.</w:t>
      </w:r>
    </w:p>
    <w:bookmarkStart w:id="26" w:name="interpretation"/>
    <w:p>
      <w:pPr>
        <w:pStyle w:val="Heading3"/>
      </w:pPr>
      <w:r>
        <w:t xml:space="preserve">Interpretation</w:t>
      </w:r>
    </w:p>
    <w:p>
      <w:pPr>
        <w:numPr>
          <w:ilvl w:val="0"/>
          <w:numId w:val="1005"/>
        </w:numPr>
      </w:pPr>
      <w:r>
        <w:t xml:space="preserve">SIZE is the proportion of money involved in that EcoSystem over the whole number of money circulated in the country. It ranges from 0 (the ES is not existent) to 1 (the ES coincides with the country). Since there are 14 countries, a balanced uniform value would be</w:t>
      </w:r>
      <w:r>
        <w:t xml:space="preserve"> </w:t>
      </w:r>
      <m:oMath>
        <m:r>
          <m:t>.07</m:t>
        </m:r>
      </m:oMath>
    </w:p>
    <w:p>
      <w:pPr>
        <w:numPr>
          <w:ilvl w:val="0"/>
          <w:numId w:val="1005"/>
        </w:numPr>
      </w:pPr>
      <w:r>
        <w:t xml:space="preserve">SELF is the proportion of money that the EcoSystem trades with itself. It ranges from 0 (the ES is a pure fictional intermediary of other exchanges) to 1 (the ES always refute to trade with others).</w:t>
      </w:r>
    </w:p>
    <w:p>
      <w:pPr>
        <w:numPr>
          <w:ilvl w:val="0"/>
          <w:numId w:val="1005"/>
        </w:numPr>
      </w:pPr>
      <w:r>
        <w:t xml:space="preserve">UBIQ is an indicator of how the ES serves the national economy when it does not exchange with itself. It ranges from 1 (exists as a mere supplier of another ES) to 14 (its a supplier of all other ES).</w:t>
      </w:r>
    </w:p>
    <w:p>
      <w:pPr>
        <w:numPr>
          <w:ilvl w:val="0"/>
          <w:numId w:val="1005"/>
        </w:numPr>
      </w:pPr>
      <w:r>
        <w:t xml:space="preserve">PRTY is an indicator of how the ES buys a highly differentiated range of goods and services with no financial discrimination. A high value of it signals that investment in this ES is financially fair and does not favor specific groups of stakeholders. It ranges from 0 (it is only a buyer of another ES, i.e. financing it means to actually raise a lot of inequalities) to 1 (it buys from everybody, financing it it-s like giving money to everybody).</w:t>
      </w:r>
    </w:p>
    <w:bookmarkEnd w:id="26"/>
    <w:bookmarkStart w:id="36" w:name="dataviz"/>
    <w:p>
      <w:pPr>
        <w:pStyle w:val="Heading3"/>
      </w:pPr>
      <w:r>
        <w:t xml:space="preserve">Dataviz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ew-Analysis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ew-Analysis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ew-Analysis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2023-12-06T12:02:45Z</dcterms:created>
  <dcterms:modified xsi:type="dcterms:W3CDTF">2023-12-06T12:02:45Z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