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732EAADF" w:rsidR="000C4DD5" w:rsidRPr="000C4DD5" w:rsidRDefault="00A85599" w:rsidP="00C322EB">
      <w:pPr>
        <w:spacing w:after="100" w:afterAutospacing="1" w:line="360" w:lineRule="auto"/>
        <w:outlineLvl w:val="2"/>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Divisional Perspectives on Trust in Generative AI: An Empirical Study of Senior Decision-Makers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54BDF259" w:rsidR="002954F4" w:rsidRPr="00D747CB" w:rsidRDefault="00A85599" w:rsidP="00B47ED4">
      <w:pPr>
        <w:spacing w:before="100" w:beforeAutospacing="1" w:after="100" w:afterAutospacing="1" w:line="360" w:lineRule="auto"/>
        <w:rPr>
          <w:rFonts w:ascii="Work Sans" w:eastAsia="Times New Roman" w:hAnsi="Work Sans" w:cs="Times New Roman"/>
          <w:i/>
          <w:iCs/>
          <w:sz w:val="28"/>
          <w:szCs w:val="28"/>
          <w:lang w:eastAsia="en-GB"/>
        </w:rPr>
      </w:pPr>
      <w:r w:rsidRPr="00A85599">
        <w:rPr>
          <w:rFonts w:ascii="Work Sans" w:eastAsia="Times New Roman" w:hAnsi="Work Sans" w:cs="Times New Roman"/>
          <w:i/>
          <w:iCs/>
          <w:sz w:val="28"/>
          <w:szCs w:val="28"/>
          <w:lang w:eastAsia="en-GB"/>
        </w:rPr>
        <w:t>Do Khac, L. T., Leyer, M., Wichmann, J., &amp; Richter, A. (2025) Divisional perspectives on trust in generative AI: an empirical study of senior decision-makers. Enterprise Information Systems, 19(7–8), 805–826.</w:t>
      </w:r>
      <w:r w:rsidRPr="00A85599">
        <w:rPr>
          <w:rFonts w:ascii="Work Sans" w:eastAsia="Times New Roman" w:hAnsi="Work Sans" w:cs="Times New Roman"/>
          <w:i/>
          <w:iCs/>
          <w:sz w:val="28"/>
          <w:szCs w:val="28"/>
          <w:lang w:eastAsia="en-GB"/>
        </w:rPr>
        <w:br/>
        <w:t>DOI: 10.1080/17517575.2025.2481557</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400FADEA" w:rsidR="002954F4" w:rsidRPr="00A85599" w:rsidRDefault="00A85599" w:rsidP="00C322EB">
      <w:p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This paper investigates how trust in generative AI (</w:t>
      </w:r>
      <w:proofErr w:type="spellStart"/>
      <w:r w:rsidRPr="00A85599">
        <w:rPr>
          <w:rFonts w:ascii="Work Sans" w:eastAsia="Times New Roman" w:hAnsi="Work Sans" w:cs="Times New Roman"/>
          <w:sz w:val="28"/>
          <w:szCs w:val="28"/>
          <w:lang w:eastAsia="en-GB"/>
        </w:rPr>
        <w:t>genAI</w:t>
      </w:r>
      <w:proofErr w:type="spellEnd"/>
      <w:r w:rsidRPr="00A85599">
        <w:rPr>
          <w:rFonts w:ascii="Work Sans" w:eastAsia="Times New Roman" w:hAnsi="Work Sans" w:cs="Times New Roman"/>
          <w:sz w:val="28"/>
          <w:szCs w:val="28"/>
          <w:lang w:eastAsia="en-GB"/>
        </w:rPr>
        <w:t xml:space="preserve">), specifically ChatGPT, differs among senior decision-makers across various organizational departments. The study surveyed 500 mid-level German managers to identify which trust factors—ability, benevolence, and integrity—influence the intention to use </w:t>
      </w:r>
      <w:proofErr w:type="spellStart"/>
      <w:r w:rsidRPr="00A85599">
        <w:rPr>
          <w:rFonts w:ascii="Work Sans" w:eastAsia="Times New Roman" w:hAnsi="Work Sans" w:cs="Times New Roman"/>
          <w:sz w:val="28"/>
          <w:szCs w:val="28"/>
          <w:lang w:eastAsia="en-GB"/>
        </w:rPr>
        <w:t>genAI</w:t>
      </w:r>
      <w:proofErr w:type="spellEnd"/>
      <w:r w:rsidRPr="00A85599">
        <w:rPr>
          <w:rFonts w:ascii="Work Sans" w:eastAsia="Times New Roman" w:hAnsi="Work Sans" w:cs="Times New Roman"/>
          <w:sz w:val="28"/>
          <w:szCs w:val="28"/>
          <w:lang w:eastAsia="en-GB"/>
        </w:rPr>
        <w:t xml:space="preserve"> tools within companies. Using the Mayer, Davis, and </w:t>
      </w:r>
      <w:proofErr w:type="spellStart"/>
      <w:r w:rsidRPr="00A85599">
        <w:rPr>
          <w:rFonts w:ascii="Work Sans" w:eastAsia="Times New Roman" w:hAnsi="Work Sans" w:cs="Times New Roman"/>
          <w:sz w:val="28"/>
          <w:szCs w:val="28"/>
          <w:lang w:eastAsia="en-GB"/>
        </w:rPr>
        <w:t>Schoorman</w:t>
      </w:r>
      <w:proofErr w:type="spellEnd"/>
      <w:r w:rsidRPr="00A85599">
        <w:rPr>
          <w:rFonts w:ascii="Work Sans" w:eastAsia="Times New Roman" w:hAnsi="Work Sans" w:cs="Times New Roman"/>
          <w:sz w:val="28"/>
          <w:szCs w:val="28"/>
          <w:lang w:eastAsia="en-GB"/>
        </w:rPr>
        <w:t xml:space="preserve"> (1995) trust model, the authors found that trust is crucial for AI adoption, but different departments value different aspects of trust.</w:t>
      </w:r>
      <w:r w:rsidRPr="00A85599">
        <w:rPr>
          <w:rFonts w:ascii="Work Sans" w:eastAsia="Times New Roman" w:hAnsi="Work Sans" w:cs="Times New Roman"/>
          <w:sz w:val="28"/>
          <w:szCs w:val="28"/>
          <w:lang w:eastAsia="en-GB"/>
        </w:rPr>
        <w:br/>
        <w:t xml:space="preserve">For instance, sales departments prioritize AI’s ability (accuracy and performance), while non-IT divisions emphasize integrity (data privacy and reliability). These variations imply that organizations must tailor AI introduction strategies and training programs for each department. The study concludes that fostering organizational trust through data privacy, AI </w:t>
      </w:r>
      <w:r w:rsidRPr="00A85599">
        <w:rPr>
          <w:rFonts w:ascii="Work Sans" w:eastAsia="Times New Roman" w:hAnsi="Work Sans" w:cs="Times New Roman"/>
          <w:sz w:val="28"/>
          <w:szCs w:val="28"/>
          <w:lang w:eastAsia="en-GB"/>
        </w:rPr>
        <w:lastRenderedPageBreak/>
        <w:t>governance frameworks, and training is essential for successful AI integration.</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35E7A48B" w14:textId="0599D01D" w:rsidR="00A85599" w:rsidRPr="00A85599" w:rsidRDefault="00A85599" w:rsidP="00A85599">
      <w:pPr>
        <w:pStyle w:val="Paragrafoelenco"/>
        <w:numPr>
          <w:ilvl w:val="0"/>
          <w:numId w:val="5"/>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“Ability is the most important factor to explain trust for decision-makers in sales departments, while for non-IT departments, integrity is most important.”</w:t>
      </w:r>
    </w:p>
    <w:p w14:paraId="24E4DF8B" w14:textId="568F90A4" w:rsidR="00A85599" w:rsidRPr="00A85599" w:rsidRDefault="00A85599" w:rsidP="00A85599">
      <w:pPr>
        <w:pStyle w:val="Paragrafoelenco"/>
        <w:numPr>
          <w:ilvl w:val="0"/>
          <w:numId w:val="5"/>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“Fostering trust is crucial for AI adoption, guiding tailored organizational support and governance structures.”</w:t>
      </w:r>
    </w:p>
    <w:p w14:paraId="43EDEB0A" w14:textId="330F316F" w:rsidR="00A85599" w:rsidRPr="00A85599" w:rsidRDefault="00A85599" w:rsidP="00A85599">
      <w:pPr>
        <w:pStyle w:val="Paragrafoelenco"/>
        <w:numPr>
          <w:ilvl w:val="0"/>
          <w:numId w:val="5"/>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“Decision-makers across departments consider trust important as a requirement for their intention to use ChatGPT.”</w:t>
      </w:r>
    </w:p>
    <w:p w14:paraId="2886AFFA" w14:textId="195EBE2B" w:rsidR="000C4DD5" w:rsidRPr="00A85599" w:rsidRDefault="00A85599" w:rsidP="00A85599">
      <w:pPr>
        <w:pStyle w:val="Paragrafoelenco"/>
        <w:numPr>
          <w:ilvl w:val="0"/>
          <w:numId w:val="5"/>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“Different divisions perceive trust factors differently, which could cause friction when AI service procurement is decided on a central level.”</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77AA6CAC" w:rsidR="000C4DD5" w:rsidRPr="00A85599" w:rsidRDefault="00A85599" w:rsidP="00C322EB">
      <w:p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This article is highly relevant in today’s context where organizations are rapidly adopting generative AI tools like ChatGPT. What stands out is its focus on trust as a multidimensional concept—not only technical but also ethical and relational. The authors effectively demonstrate that even within the same organization, different departments perceive AI differently, which reflects the human side of technology integration.</w:t>
      </w:r>
      <w:r w:rsidRPr="00A85599">
        <w:rPr>
          <w:rFonts w:ascii="Work Sans" w:eastAsia="Times New Roman" w:hAnsi="Work Sans" w:cs="Times New Roman"/>
          <w:sz w:val="28"/>
          <w:szCs w:val="28"/>
          <w:lang w:eastAsia="en-GB"/>
        </w:rPr>
        <w:br/>
        <w:t xml:space="preserve">I found it particularly important that data privacy and integrity </w:t>
      </w:r>
      <w:r w:rsidRPr="00A85599">
        <w:rPr>
          <w:rFonts w:ascii="Work Sans" w:eastAsia="Times New Roman" w:hAnsi="Work Sans" w:cs="Times New Roman"/>
          <w:sz w:val="28"/>
          <w:szCs w:val="28"/>
          <w:lang w:eastAsia="en-GB"/>
        </w:rPr>
        <w:lastRenderedPageBreak/>
        <w:t>remain central concerns, especially given the sensitivity of corporate data when using cloud-based AI systems. The study’s emphasis on department-specific strategies for building trust shows a practical understanding of corporate dynamics. I also appreciate how it connects AI governance, ethical compliance (like GDPR), and employee training as tools for fostering trust.</w:t>
      </w:r>
      <w:r w:rsidRPr="00A85599">
        <w:rPr>
          <w:rFonts w:ascii="Work Sans" w:eastAsia="Times New Roman" w:hAnsi="Work Sans" w:cs="Times New Roman"/>
          <w:sz w:val="28"/>
          <w:szCs w:val="28"/>
          <w:lang w:eastAsia="en-GB"/>
        </w:rPr>
        <w:br/>
        <w:t>Overall, this research helps explain why AI adoption sometimes fails despite technical readiness—it’s not just about capability but about organizational culture and perceived trustworthiness. It reminds leaders that technology cannot succeed without human confidence in its purpose, fairness, and reliability.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7A22003" w14:textId="6F5CC1AF" w:rsidR="00A85599" w:rsidRPr="00A85599" w:rsidRDefault="00A85599" w:rsidP="00A85599">
      <w:pPr>
        <w:pStyle w:val="Paragrafoelenco"/>
        <w:numPr>
          <w:ilvl w:val="0"/>
          <w:numId w:val="3"/>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How can organizations design dynamic trust frameworks that evolve as AI technologies change?</w:t>
      </w:r>
    </w:p>
    <w:p w14:paraId="380A3A34" w14:textId="65E19755" w:rsidR="00A85599" w:rsidRPr="00A85599" w:rsidRDefault="00A85599" w:rsidP="00A85599">
      <w:pPr>
        <w:pStyle w:val="Paragrafoelenco"/>
        <w:numPr>
          <w:ilvl w:val="0"/>
          <w:numId w:val="3"/>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Could top management perceptions of trust differ from mid-level managers, and how might that affect AI policy decisions?</w:t>
      </w:r>
    </w:p>
    <w:p w14:paraId="532AC901" w14:textId="22B41C59" w:rsidR="00A85599" w:rsidRPr="00A85599" w:rsidRDefault="00A85599" w:rsidP="00A85599">
      <w:pPr>
        <w:pStyle w:val="Paragrafoelenco"/>
        <w:numPr>
          <w:ilvl w:val="0"/>
          <w:numId w:val="3"/>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What role do cultural or national differences play in shaping trust in AI across global corporations?</w:t>
      </w:r>
    </w:p>
    <w:p w14:paraId="2E07A967" w14:textId="2B6E091A" w:rsidR="00D9081F" w:rsidRPr="00B47ED4" w:rsidRDefault="00A85599" w:rsidP="00A85599">
      <w:pPr>
        <w:pStyle w:val="Paragrafoelenco"/>
        <w:numPr>
          <w:ilvl w:val="0"/>
          <w:numId w:val="3"/>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How can companies balance transparency and data security when using proprietary AI systems like ChatGPT?</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3A86DF8F" w14:textId="05DDA952" w:rsidR="00A85599" w:rsidRPr="00A85599" w:rsidRDefault="00A85599" w:rsidP="00A85599">
      <w:pPr>
        <w:pStyle w:val="Paragrafoelenco"/>
        <w:numPr>
          <w:ilvl w:val="0"/>
          <w:numId w:val="4"/>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The study used Partial Least Squares Structural Equation Modelling (PLS-SEM) to test hypotheses.</w:t>
      </w:r>
    </w:p>
    <w:p w14:paraId="7266936F" w14:textId="61A9B152" w:rsidR="00A85599" w:rsidRPr="00A85599" w:rsidRDefault="00A85599" w:rsidP="00A85599">
      <w:pPr>
        <w:pStyle w:val="Paragrafoelenco"/>
        <w:numPr>
          <w:ilvl w:val="0"/>
          <w:numId w:val="4"/>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lastRenderedPageBreak/>
        <w:t>Trust explained around 50% of the variance in intention to use AI.</w:t>
      </w:r>
    </w:p>
    <w:p w14:paraId="14719842" w14:textId="353A76C7" w:rsidR="00A85599" w:rsidRPr="00A85599" w:rsidRDefault="00A85599" w:rsidP="00A85599">
      <w:pPr>
        <w:pStyle w:val="Paragrafoelenco"/>
        <w:numPr>
          <w:ilvl w:val="0"/>
          <w:numId w:val="4"/>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The research highlights cross-departmental friction as a challenge in AI deployment.</w:t>
      </w:r>
    </w:p>
    <w:p w14:paraId="2241A2FE" w14:textId="4420EEE2" w:rsidR="00A85599" w:rsidRPr="00A85599" w:rsidRDefault="00A85599" w:rsidP="00A85599">
      <w:pPr>
        <w:pStyle w:val="Paragrafoelenco"/>
        <w:numPr>
          <w:ilvl w:val="0"/>
          <w:numId w:val="4"/>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Authors recommend AI governance structures, training, and sandbox environments to foster experimentation and trust.</w:t>
      </w:r>
    </w:p>
    <w:p w14:paraId="1017648D" w14:textId="4B16A6AA" w:rsidR="00B47ED4" w:rsidRPr="00B47ED4" w:rsidRDefault="00A85599" w:rsidP="00A85599">
      <w:pPr>
        <w:pStyle w:val="Paragrafoelenco"/>
        <w:numPr>
          <w:ilvl w:val="0"/>
          <w:numId w:val="4"/>
        </w:numPr>
        <w:spacing w:after="0" w:line="360" w:lineRule="auto"/>
        <w:rPr>
          <w:rFonts w:ascii="Work Sans" w:eastAsia="Times New Roman" w:hAnsi="Work Sans" w:cs="Times New Roman"/>
          <w:sz w:val="28"/>
          <w:szCs w:val="28"/>
          <w:lang w:eastAsia="en-GB"/>
        </w:rPr>
      </w:pPr>
      <w:r w:rsidRPr="00A85599">
        <w:rPr>
          <w:rFonts w:ascii="Work Sans" w:eastAsia="Times New Roman" w:hAnsi="Work Sans" w:cs="Times New Roman"/>
          <w:sz w:val="28"/>
          <w:szCs w:val="28"/>
          <w:lang w:eastAsia="en-GB"/>
        </w:rPr>
        <w:t>Key takeaway: “One-size-fits-all” AI adoption strategies do not work—trust must be tailored to divisional contexts.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14239" w14:textId="77777777" w:rsidR="00772A05" w:rsidRDefault="00772A05" w:rsidP="00447376">
      <w:pPr>
        <w:spacing w:after="0" w:line="240" w:lineRule="auto"/>
      </w:pPr>
      <w:r>
        <w:separator/>
      </w:r>
    </w:p>
  </w:endnote>
  <w:endnote w:type="continuationSeparator" w:id="0">
    <w:p w14:paraId="162F7B69" w14:textId="77777777" w:rsidR="00772A05" w:rsidRDefault="00772A05"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1D6A8" w14:textId="77777777" w:rsidR="00772A05" w:rsidRDefault="00772A05" w:rsidP="00447376">
      <w:pPr>
        <w:spacing w:after="0" w:line="240" w:lineRule="auto"/>
      </w:pPr>
      <w:r>
        <w:separator/>
      </w:r>
    </w:p>
  </w:footnote>
  <w:footnote w:type="continuationSeparator" w:id="0">
    <w:p w14:paraId="2EE776E4" w14:textId="77777777" w:rsidR="00772A05" w:rsidRDefault="00772A05"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536F8"/>
    <w:multiLevelType w:val="hybridMultilevel"/>
    <w:tmpl w:val="23A020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383483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3E55E3"/>
    <w:rsid w:val="00447376"/>
    <w:rsid w:val="004C7C24"/>
    <w:rsid w:val="00772A05"/>
    <w:rsid w:val="007B53C7"/>
    <w:rsid w:val="00980B52"/>
    <w:rsid w:val="00A85599"/>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2025-10-19T21:56:00Z</dcterms:created>
  <dcterms:modified xsi:type="dcterms:W3CDTF">2025-10-19T22:35:00Z</dcterms:modified>
</cp:coreProperties>
</file>