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2429EBB6" w:rsidR="000C4DD5" w:rsidRPr="000C4DD5" w:rsidRDefault="00A80DE1" w:rsidP="00C322EB">
      <w:pPr>
        <w:spacing w:after="100" w:afterAutospacing="1" w:line="360" w:lineRule="auto"/>
        <w:outlineLvl w:val="2"/>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Cryptographic Provenance and the Future of Media Authenticity: Technical Standards and Ethical Frameworks for Generative Content</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57CFE813" w:rsidR="002954F4" w:rsidRPr="00D747CB" w:rsidRDefault="00A80DE1" w:rsidP="00B47ED4">
      <w:pPr>
        <w:spacing w:before="100" w:beforeAutospacing="1" w:after="100" w:afterAutospacing="1" w:line="360" w:lineRule="auto"/>
        <w:rPr>
          <w:rFonts w:ascii="Work Sans" w:eastAsia="Times New Roman" w:hAnsi="Work Sans" w:cs="Times New Roman"/>
          <w:i/>
          <w:iCs/>
          <w:sz w:val="28"/>
          <w:szCs w:val="28"/>
          <w:lang w:eastAsia="en-GB"/>
        </w:rPr>
      </w:pPr>
      <w:r w:rsidRPr="00A80DE1">
        <w:rPr>
          <w:rFonts w:ascii="Work Sans" w:eastAsia="Times New Roman" w:hAnsi="Work Sans" w:cs="Times New Roman"/>
          <w:i/>
          <w:iCs/>
          <w:sz w:val="28"/>
          <w:szCs w:val="28"/>
          <w:lang w:eastAsia="en-GB"/>
        </w:rPr>
        <w:t>Laskar, P. (2025) Cryptographic Provenance and the Future of Media Authenticity: Technical Standards and Ethical Frameworks for Generative Content, Journal of Computer Science and Technology Studies, 7(6), pp. 967–972.</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234E69FF" w14:textId="77777777" w:rsidR="00A80DE1" w:rsidRPr="00A80DE1" w:rsidRDefault="00A80DE1" w:rsidP="00A80DE1">
      <w:p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The paper by Pallav Laskar explores how generative AI has revolutionized content creation while simultaneously undermining public trust in digital media. It highlights the C2PA (Coalition for Content Provenance and Authenticity) framework as a key technical standard that embeds cryptographic proofs of authenticity directly into digital media. These proofs—signed manifests, hash chains, and tamper-evident thumbnails—create a verifiable chain of custody for content.</w:t>
      </w:r>
    </w:p>
    <w:p w14:paraId="12452FC9" w14:textId="77777777" w:rsidR="00A80DE1" w:rsidRPr="00A80DE1" w:rsidRDefault="00A80DE1" w:rsidP="00A80DE1">
      <w:p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 xml:space="preserve">The article argues that technical systems alone cannot solve the authenticity crisis; instead, success depends on combining cryptographic provenance with ethical and legal frameworks. The author proposes transparent AI </w:t>
      </w:r>
      <w:proofErr w:type="spellStart"/>
      <w:r w:rsidRPr="00A80DE1">
        <w:rPr>
          <w:rFonts w:ascii="Work Sans" w:eastAsia="Times New Roman" w:hAnsi="Work Sans" w:cs="Times New Roman"/>
          <w:sz w:val="28"/>
          <w:szCs w:val="28"/>
          <w:lang w:eastAsia="en-GB"/>
        </w:rPr>
        <w:t>labeling</w:t>
      </w:r>
      <w:proofErr w:type="spellEnd"/>
      <w:r w:rsidRPr="00A80DE1">
        <w:rPr>
          <w:rFonts w:ascii="Work Sans" w:eastAsia="Times New Roman" w:hAnsi="Work Sans" w:cs="Times New Roman"/>
          <w:sz w:val="28"/>
          <w:szCs w:val="28"/>
          <w:lang w:eastAsia="en-GB"/>
        </w:rPr>
        <w:t>, opt-out dataset governance for creators, and cross-platform verification coalitions. Global regulation (EU, US, UK, China) is compared, revealing uneven implementation.</w:t>
      </w:r>
    </w:p>
    <w:p w14:paraId="022BE981" w14:textId="26CDBE53" w:rsidR="002954F4" w:rsidRPr="00C7370D" w:rsidRDefault="00A80DE1" w:rsidP="00C322EB">
      <w:p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lastRenderedPageBreak/>
        <w:t>Laskar concludes that cryptographic provenance must operate as both a technical infrastructure and a social contract, preserving trust and shared truth in the age of synthetic media.</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72175A1D" w14:textId="52A72B6A" w:rsidR="00A80DE1" w:rsidRPr="00A80DE1" w:rsidRDefault="00A80DE1" w:rsidP="00A80DE1">
      <w:pPr>
        <w:pStyle w:val="Paragrafoelenco"/>
        <w:numPr>
          <w:ilvl w:val="0"/>
          <w:numId w:val="5"/>
        </w:num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“The ‘seeing is believing’ paradigm faces obsolescence as generative models achieve synthesis quality that defies human perception.”</w:t>
      </w:r>
    </w:p>
    <w:p w14:paraId="7B3B1748" w14:textId="3C52E6D2" w:rsidR="00A80DE1" w:rsidRPr="00A80DE1" w:rsidRDefault="00A80DE1" w:rsidP="00A80DE1">
      <w:pPr>
        <w:pStyle w:val="Paragrafoelenco"/>
        <w:numPr>
          <w:ilvl w:val="0"/>
          <w:numId w:val="5"/>
        </w:num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“Cryptographic provenance emerges as a promising technical framework for restoring trust in digital media ecosystems.”</w:t>
      </w:r>
    </w:p>
    <w:p w14:paraId="04DEAEF7" w14:textId="0CE80ED1" w:rsidR="00A80DE1" w:rsidRPr="00A80DE1" w:rsidRDefault="00A80DE1" w:rsidP="00A80DE1">
      <w:pPr>
        <w:pStyle w:val="Paragrafoelenco"/>
        <w:numPr>
          <w:ilvl w:val="0"/>
          <w:numId w:val="5"/>
        </w:num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 xml:space="preserve">“The convergence of transparent </w:t>
      </w:r>
      <w:r w:rsidRPr="00A80DE1">
        <w:rPr>
          <w:rFonts w:ascii="Work Sans" w:eastAsia="Times New Roman" w:hAnsi="Work Sans" w:cs="Times New Roman"/>
          <w:sz w:val="28"/>
          <w:szCs w:val="28"/>
          <w:lang w:eastAsia="en-GB"/>
        </w:rPr>
        <w:t>labelling</w:t>
      </w:r>
      <w:r w:rsidRPr="00A80DE1">
        <w:rPr>
          <w:rFonts w:ascii="Work Sans" w:eastAsia="Times New Roman" w:hAnsi="Work Sans" w:cs="Times New Roman"/>
          <w:sz w:val="28"/>
          <w:szCs w:val="28"/>
          <w:lang w:eastAsia="en-GB"/>
        </w:rPr>
        <w:t>, opt-out dataset governance, and cross-platform verification charts a path toward preserving epistemic integrity.”</w:t>
      </w:r>
    </w:p>
    <w:p w14:paraId="2886AFFA" w14:textId="6DEADE25" w:rsidR="000C4DD5" w:rsidRPr="00A80DE1" w:rsidRDefault="00A80DE1" w:rsidP="00A80DE1">
      <w:pPr>
        <w:pStyle w:val="Paragrafoelenco"/>
        <w:numPr>
          <w:ilvl w:val="0"/>
          <w:numId w:val="5"/>
        </w:num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“Content provenance systems represent both a technical necessity and a social contract for maintaining shared truth in an era of infinite synthetic possibilities.”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265F085E" w14:textId="77777777" w:rsidR="00A80DE1" w:rsidRPr="00A80DE1" w:rsidRDefault="00A80DE1" w:rsidP="00A80DE1">
      <w:p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This article presents a critical and forward-looking analysis of one of the most urgent challenges in our digital age—the loss of trust caused by AI-generated content. I found it compelling because it bridges technology, law, and ethics, showing how authenticity is not merely a technical issue but a societal one. Laskar’s discussion of the C2PA framework demonstrates a feasible and scalable approach to proving digital content authenticity using cryptographic tools.</w:t>
      </w:r>
    </w:p>
    <w:p w14:paraId="26D0C735" w14:textId="77777777" w:rsidR="00A80DE1" w:rsidRPr="00A80DE1" w:rsidRDefault="00A80DE1" w:rsidP="00A80DE1">
      <w:pPr>
        <w:spacing w:after="0" w:line="360" w:lineRule="auto"/>
        <w:rPr>
          <w:rFonts w:ascii="Work Sans" w:eastAsia="Times New Roman" w:hAnsi="Work Sans" w:cs="Times New Roman"/>
          <w:sz w:val="28"/>
          <w:szCs w:val="28"/>
          <w:lang w:eastAsia="en-GB"/>
        </w:rPr>
      </w:pPr>
    </w:p>
    <w:p w14:paraId="3276F38D" w14:textId="77777777" w:rsidR="00A80DE1" w:rsidRPr="00A80DE1" w:rsidRDefault="00A80DE1" w:rsidP="00A80DE1">
      <w:p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 xml:space="preserve">What makes this paper significant is its balanced perspective: it acknowledges the creative potential of generative AI while warning of the existential risks posed by misinformation and deepfakes. The author’s ethical proposals, such as transparent </w:t>
      </w:r>
      <w:proofErr w:type="spellStart"/>
      <w:r w:rsidRPr="00A80DE1">
        <w:rPr>
          <w:rFonts w:ascii="Work Sans" w:eastAsia="Times New Roman" w:hAnsi="Work Sans" w:cs="Times New Roman"/>
          <w:sz w:val="28"/>
          <w:szCs w:val="28"/>
          <w:lang w:eastAsia="en-GB"/>
        </w:rPr>
        <w:t>labeling</w:t>
      </w:r>
      <w:proofErr w:type="spellEnd"/>
      <w:r w:rsidRPr="00A80DE1">
        <w:rPr>
          <w:rFonts w:ascii="Work Sans" w:eastAsia="Times New Roman" w:hAnsi="Work Sans" w:cs="Times New Roman"/>
          <w:sz w:val="28"/>
          <w:szCs w:val="28"/>
          <w:lang w:eastAsia="en-GB"/>
        </w:rPr>
        <w:t xml:space="preserve"> and dataset consent, are practical yet philosophically rich, emphasizing user awareness and creator rights.</w:t>
      </w:r>
    </w:p>
    <w:p w14:paraId="186A4403" w14:textId="77777777" w:rsidR="00A80DE1" w:rsidRPr="00A80DE1" w:rsidRDefault="00A80DE1" w:rsidP="00A80DE1">
      <w:pPr>
        <w:spacing w:after="0" w:line="360" w:lineRule="auto"/>
        <w:rPr>
          <w:rFonts w:ascii="Work Sans" w:eastAsia="Times New Roman" w:hAnsi="Work Sans" w:cs="Times New Roman"/>
          <w:sz w:val="28"/>
          <w:szCs w:val="28"/>
          <w:lang w:eastAsia="en-GB"/>
        </w:rPr>
      </w:pPr>
    </w:p>
    <w:p w14:paraId="5E2C5068" w14:textId="3FBFEE1F" w:rsidR="000C4DD5" w:rsidRPr="00A80DE1" w:rsidRDefault="00A80DE1" w:rsidP="00A80DE1">
      <w:p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For me, this reading reinforces the idea that trust technologies must evolve alongside AI. It also highlights the importance of interdisciplinary collaboration between engineers, lawmakers, and ethicists. The article is highly relevant for anyone studying AI policy, cybersecurity, or digital governance.</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64586A0B" w14:textId="6AB2F76C" w:rsidR="00A80DE1" w:rsidRPr="00A80DE1" w:rsidRDefault="00A80DE1" w:rsidP="00A80DE1">
      <w:pPr>
        <w:pStyle w:val="Paragrafoelenco"/>
        <w:numPr>
          <w:ilvl w:val="0"/>
          <w:numId w:val="3"/>
        </w:num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How can provenance data remain intact when content circulates across decentralized and privacy-sensitive platforms?</w:t>
      </w:r>
    </w:p>
    <w:p w14:paraId="3C31BDD4" w14:textId="26F5CD5F" w:rsidR="00A80DE1" w:rsidRPr="00A80DE1" w:rsidRDefault="00A80DE1" w:rsidP="00A80DE1">
      <w:pPr>
        <w:pStyle w:val="Paragrafoelenco"/>
        <w:numPr>
          <w:ilvl w:val="0"/>
          <w:numId w:val="3"/>
        </w:num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What incentives will motivate widespread adoption of C2PA among creators and corporations?</w:t>
      </w:r>
    </w:p>
    <w:p w14:paraId="1781B8D7" w14:textId="7D972AE1" w:rsidR="00A80DE1" w:rsidRPr="00A80DE1" w:rsidRDefault="00A80DE1" w:rsidP="00A80DE1">
      <w:pPr>
        <w:pStyle w:val="Paragrafoelenco"/>
        <w:numPr>
          <w:ilvl w:val="0"/>
          <w:numId w:val="3"/>
        </w:num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Could provenance metadata itself become a target for manipulation or surveillance?</w:t>
      </w:r>
    </w:p>
    <w:p w14:paraId="2E07A967" w14:textId="669CBBC9" w:rsidR="00D9081F" w:rsidRPr="00B47ED4" w:rsidRDefault="00A80DE1" w:rsidP="00A80DE1">
      <w:pPr>
        <w:pStyle w:val="Paragrafoelenco"/>
        <w:numPr>
          <w:ilvl w:val="0"/>
          <w:numId w:val="3"/>
        </w:num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How should societies balance freedom of expression with accountability in the AI era?</w:t>
      </w:r>
      <w:r w:rsidR="00D9081F" w:rsidRPr="00B47ED4">
        <w:rPr>
          <w:rFonts w:ascii="Work Sans" w:eastAsia="Times New Roman" w:hAnsi="Work Sans" w:cs="Times New Roman"/>
          <w:sz w:val="28"/>
          <w:szCs w:val="28"/>
          <w:lang w:eastAsia="en-GB"/>
        </w:rPr>
        <w:br/>
      </w:r>
    </w:p>
    <w:p w14:paraId="77A7F257" w14:textId="77777777" w:rsidR="00A80DE1" w:rsidRDefault="00A80DE1" w:rsidP="00B47ED4">
      <w:pPr>
        <w:spacing w:after="0" w:line="360" w:lineRule="auto"/>
        <w:rPr>
          <w:rFonts w:ascii="Work Sans" w:eastAsia="Times New Roman" w:hAnsi="Work Sans" w:cs="Times New Roman"/>
          <w:b/>
          <w:bCs/>
          <w:sz w:val="28"/>
          <w:szCs w:val="28"/>
          <w:lang w:eastAsia="en-GB"/>
        </w:rPr>
      </w:pPr>
    </w:p>
    <w:p w14:paraId="12E78654" w14:textId="6ECADDB2"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4962E951" w14:textId="461C46AE" w:rsidR="00A80DE1" w:rsidRPr="00A80DE1" w:rsidRDefault="00A80DE1" w:rsidP="00A80DE1">
      <w:pPr>
        <w:pStyle w:val="Paragrafoelenco"/>
        <w:numPr>
          <w:ilvl w:val="0"/>
          <w:numId w:val="4"/>
        </w:num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C2PA v2.2 introduces range-based assertions and JUMBF-lite for efficient mobile verification.</w:t>
      </w:r>
    </w:p>
    <w:p w14:paraId="23DA02B7" w14:textId="6E8FC9D9" w:rsidR="00A80DE1" w:rsidRPr="00A80DE1" w:rsidRDefault="00A80DE1" w:rsidP="00A80DE1">
      <w:pPr>
        <w:pStyle w:val="Paragrafoelenco"/>
        <w:numPr>
          <w:ilvl w:val="0"/>
          <w:numId w:val="4"/>
        </w:num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 xml:space="preserve">The EU AI Act (2025) mandates deepfake </w:t>
      </w:r>
      <w:r w:rsidRPr="00A80DE1">
        <w:rPr>
          <w:rFonts w:ascii="Work Sans" w:eastAsia="Times New Roman" w:hAnsi="Work Sans" w:cs="Times New Roman"/>
          <w:sz w:val="28"/>
          <w:szCs w:val="28"/>
          <w:lang w:eastAsia="en-GB"/>
        </w:rPr>
        <w:t>labelling</w:t>
      </w:r>
      <w:r w:rsidRPr="00A80DE1">
        <w:rPr>
          <w:rFonts w:ascii="Work Sans" w:eastAsia="Times New Roman" w:hAnsi="Work Sans" w:cs="Times New Roman"/>
          <w:sz w:val="28"/>
          <w:szCs w:val="28"/>
          <w:lang w:eastAsia="en-GB"/>
        </w:rPr>
        <w:t xml:space="preserve"> and transparency notices.</w:t>
      </w:r>
    </w:p>
    <w:p w14:paraId="067A0CDE" w14:textId="43CE60BB" w:rsidR="00A80DE1" w:rsidRPr="00A80DE1" w:rsidRDefault="00A80DE1" w:rsidP="00A80DE1">
      <w:pPr>
        <w:pStyle w:val="Paragrafoelenco"/>
        <w:numPr>
          <w:ilvl w:val="0"/>
          <w:numId w:val="4"/>
        </w:num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Ethical frameworks must integrate user education to improve public trust in authenticity signals.</w:t>
      </w:r>
    </w:p>
    <w:p w14:paraId="1017648D" w14:textId="134C5507" w:rsidR="00B47ED4" w:rsidRPr="00B47ED4" w:rsidRDefault="00A80DE1" w:rsidP="00A80DE1">
      <w:pPr>
        <w:pStyle w:val="Paragrafoelenco"/>
        <w:numPr>
          <w:ilvl w:val="0"/>
          <w:numId w:val="4"/>
        </w:numPr>
        <w:spacing w:after="0" w:line="360" w:lineRule="auto"/>
        <w:rPr>
          <w:rFonts w:ascii="Work Sans" w:eastAsia="Times New Roman" w:hAnsi="Work Sans" w:cs="Times New Roman"/>
          <w:sz w:val="28"/>
          <w:szCs w:val="28"/>
          <w:lang w:eastAsia="en-GB"/>
        </w:rPr>
      </w:pPr>
      <w:r w:rsidRPr="00A80DE1">
        <w:rPr>
          <w:rFonts w:ascii="Work Sans" w:eastAsia="Times New Roman" w:hAnsi="Work Sans" w:cs="Times New Roman"/>
          <w:sz w:val="28"/>
          <w:szCs w:val="28"/>
          <w:lang w:eastAsia="en-GB"/>
        </w:rPr>
        <w:t>Future research will explore quantum-resistant cryptographic systems and hardware-based provenance for mobile devices.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726FA" w14:textId="77777777" w:rsidR="00BC5725" w:rsidRDefault="00BC5725" w:rsidP="00447376">
      <w:pPr>
        <w:spacing w:after="0" w:line="240" w:lineRule="auto"/>
      </w:pPr>
      <w:r>
        <w:separator/>
      </w:r>
    </w:p>
  </w:endnote>
  <w:endnote w:type="continuationSeparator" w:id="0">
    <w:p w14:paraId="309CD04D" w14:textId="77777777" w:rsidR="00BC5725" w:rsidRDefault="00BC5725"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863D9" w14:textId="77777777" w:rsidR="00BC5725" w:rsidRDefault="00BC5725" w:rsidP="00447376">
      <w:pPr>
        <w:spacing w:after="0" w:line="240" w:lineRule="auto"/>
      </w:pPr>
      <w:r>
        <w:separator/>
      </w:r>
    </w:p>
  </w:footnote>
  <w:footnote w:type="continuationSeparator" w:id="0">
    <w:p w14:paraId="70DCFBA1" w14:textId="77777777" w:rsidR="00BC5725" w:rsidRDefault="00BC5725"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44824"/>
    <w:multiLevelType w:val="hybridMultilevel"/>
    <w:tmpl w:val="B75A8E2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68965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66D68"/>
    <w:rsid w:val="001A7D55"/>
    <w:rsid w:val="002954F4"/>
    <w:rsid w:val="00344433"/>
    <w:rsid w:val="003D7147"/>
    <w:rsid w:val="003E3BDC"/>
    <w:rsid w:val="00447376"/>
    <w:rsid w:val="004C7C24"/>
    <w:rsid w:val="00665636"/>
    <w:rsid w:val="00980B52"/>
    <w:rsid w:val="00A80DE1"/>
    <w:rsid w:val="00B47ED4"/>
    <w:rsid w:val="00BC5725"/>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593</Words>
  <Characters>3383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2025-10-19T23:16:00Z</dcterms:created>
  <dcterms:modified xsi:type="dcterms:W3CDTF">2025-10-19T23:35:00Z</dcterms:modified>
</cp:coreProperties>
</file>