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71" w:rsidRDefault="00340271" w:rsidP="00340271">
      <w:pPr>
        <w:spacing w:after="0" w:line="240" w:lineRule="auto"/>
        <w:jc w:val="center"/>
        <w:textAlignment w:val="baseline"/>
        <w:outlineLvl w:val="5"/>
        <w:rPr>
          <w:rFonts w:ascii="Arial" w:eastAsia="Times New Roman" w:hAnsi="Arial" w:cs="Arial"/>
          <w:b/>
          <w:bCs/>
          <w:color w:val="4A4C67"/>
          <w:sz w:val="32"/>
          <w:szCs w:val="32"/>
          <w:bdr w:val="none" w:sz="0" w:space="0" w:color="auto" w:frame="1"/>
          <w:lang w:eastAsia="pt-BR"/>
        </w:rPr>
      </w:pPr>
    </w:p>
    <w:p w:rsidR="00211803" w:rsidRPr="00146349" w:rsidRDefault="0099216D" w:rsidP="00340271">
      <w:pPr>
        <w:spacing w:after="0" w:line="240" w:lineRule="auto"/>
        <w:jc w:val="center"/>
        <w:textAlignment w:val="baseline"/>
        <w:outlineLvl w:val="5"/>
        <w:rPr>
          <w:rFonts w:ascii="Arial" w:eastAsia="Times New Roman" w:hAnsi="Arial" w:cs="Arial"/>
          <w:b/>
          <w:bCs/>
          <w:color w:val="4A4C67"/>
          <w:sz w:val="30"/>
          <w:szCs w:val="30"/>
          <w:bdr w:val="none" w:sz="0" w:space="0" w:color="auto" w:frame="1"/>
          <w:lang w:eastAsia="pt-BR"/>
        </w:rPr>
      </w:pPr>
      <w:r w:rsidRPr="00146349">
        <w:rPr>
          <w:rFonts w:ascii="Arial" w:eastAsia="Times New Roman" w:hAnsi="Arial" w:cs="Arial"/>
          <w:b/>
          <w:bCs/>
          <w:color w:val="4A4C67"/>
          <w:sz w:val="30"/>
          <w:szCs w:val="30"/>
          <w:bdr w:val="none" w:sz="0" w:space="0" w:color="auto" w:frame="1"/>
          <w:lang w:eastAsia="pt-BR"/>
        </w:rPr>
        <w:t>Assessoria em A</w:t>
      </w:r>
      <w:r w:rsidR="00211803" w:rsidRPr="00211803">
        <w:rPr>
          <w:rFonts w:ascii="Arial" w:eastAsia="Times New Roman" w:hAnsi="Arial" w:cs="Arial"/>
          <w:b/>
          <w:bCs/>
          <w:color w:val="4A4C67"/>
          <w:sz w:val="30"/>
          <w:szCs w:val="30"/>
          <w:bdr w:val="none" w:sz="0" w:space="0" w:color="auto" w:frame="1"/>
          <w:lang w:eastAsia="pt-BR"/>
        </w:rPr>
        <w:t>dmi</w:t>
      </w:r>
      <w:r w:rsidRPr="00146349">
        <w:rPr>
          <w:rFonts w:ascii="Arial" w:eastAsia="Times New Roman" w:hAnsi="Arial" w:cs="Arial"/>
          <w:b/>
          <w:bCs/>
          <w:color w:val="4A4C67"/>
          <w:sz w:val="30"/>
          <w:szCs w:val="30"/>
          <w:bdr w:val="none" w:sz="0" w:space="0" w:color="auto" w:frame="1"/>
          <w:lang w:eastAsia="pt-BR"/>
        </w:rPr>
        <w:t xml:space="preserve">nistração de Condomínios </w:t>
      </w:r>
      <w:r w:rsidR="00146349" w:rsidRPr="00146349">
        <w:rPr>
          <w:rFonts w:ascii="Arial" w:eastAsia="Times New Roman" w:hAnsi="Arial" w:cs="Arial"/>
          <w:b/>
          <w:bCs/>
          <w:color w:val="4A4C67"/>
          <w:sz w:val="30"/>
          <w:szCs w:val="30"/>
          <w:bdr w:val="none" w:sz="0" w:space="0" w:color="auto" w:frame="1"/>
          <w:lang w:eastAsia="pt-BR"/>
        </w:rPr>
        <w:t>Médicos</w:t>
      </w:r>
    </w:p>
    <w:p w:rsidR="00340271" w:rsidRPr="00211803" w:rsidRDefault="00340271" w:rsidP="00340271">
      <w:pPr>
        <w:spacing w:after="0" w:line="240" w:lineRule="auto"/>
        <w:jc w:val="center"/>
        <w:textAlignment w:val="baseline"/>
        <w:outlineLvl w:val="5"/>
        <w:rPr>
          <w:rFonts w:ascii="Arial" w:eastAsia="Times New Roman" w:hAnsi="Arial" w:cs="Arial"/>
          <w:color w:val="4A4C67"/>
          <w:sz w:val="32"/>
          <w:szCs w:val="32"/>
          <w:lang w:eastAsia="pt-BR"/>
        </w:rPr>
      </w:pPr>
    </w:p>
    <w:p w:rsidR="00211803" w:rsidRPr="004D0137" w:rsidRDefault="00211803" w:rsidP="0034027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color w:val="4A4C67"/>
          <w:sz w:val="22"/>
          <w:lang w:eastAsia="pt-BR"/>
        </w:rPr>
      </w:pPr>
      <w:r w:rsidRPr="004D0137">
        <w:rPr>
          <w:rFonts w:ascii="Arial" w:eastAsia="Times New Roman" w:hAnsi="Arial" w:cs="Arial"/>
          <w:i/>
          <w:color w:val="4A4C67"/>
          <w:sz w:val="22"/>
          <w:lang w:eastAsia="pt-BR"/>
        </w:rPr>
        <w:t>Administrar con</w:t>
      </w:r>
      <w:r w:rsidR="0099216D" w:rsidRPr="004D0137">
        <w:rPr>
          <w:rFonts w:ascii="Arial" w:eastAsia="Times New Roman" w:hAnsi="Arial" w:cs="Arial"/>
          <w:i/>
          <w:color w:val="4A4C67"/>
          <w:sz w:val="22"/>
          <w:lang w:eastAsia="pt-BR"/>
        </w:rPr>
        <w:t>domínios</w:t>
      </w:r>
      <w:r w:rsidRPr="004D0137">
        <w:rPr>
          <w:rFonts w:ascii="Arial" w:eastAsia="Times New Roman" w:hAnsi="Arial" w:cs="Arial"/>
          <w:i/>
          <w:color w:val="4A4C67"/>
          <w:sz w:val="22"/>
          <w:lang w:eastAsia="pt-BR"/>
        </w:rPr>
        <w:t xml:space="preserve"> </w:t>
      </w:r>
      <w:r w:rsidR="00146349" w:rsidRPr="004D0137">
        <w:rPr>
          <w:rFonts w:ascii="Arial" w:eastAsia="Times New Roman" w:hAnsi="Arial" w:cs="Arial"/>
          <w:i/>
          <w:color w:val="4A4C67"/>
          <w:sz w:val="22"/>
          <w:lang w:eastAsia="pt-BR"/>
        </w:rPr>
        <w:t xml:space="preserve">de consultórios médicos </w:t>
      </w:r>
      <w:r w:rsidRPr="004D0137">
        <w:rPr>
          <w:rFonts w:ascii="Arial" w:eastAsia="Times New Roman" w:hAnsi="Arial" w:cs="Arial"/>
          <w:i/>
          <w:color w:val="4A4C67"/>
          <w:sz w:val="22"/>
          <w:lang w:eastAsia="pt-BR"/>
        </w:rPr>
        <w:t>requer uma série de medidas que passam pelo bom desempenho administrativo, financeiro e jurídico.</w:t>
      </w:r>
    </w:p>
    <w:p w:rsidR="00211803" w:rsidRPr="00211803" w:rsidRDefault="00211803" w:rsidP="0021180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A4C67"/>
          <w:sz w:val="26"/>
          <w:szCs w:val="26"/>
          <w:lang w:eastAsia="pt-BR"/>
        </w:rPr>
      </w:pPr>
      <w:r w:rsidRPr="00211803">
        <w:rPr>
          <w:rFonts w:ascii="Arial" w:eastAsia="Times New Roman" w:hAnsi="Arial" w:cs="Arial"/>
          <w:color w:val="4A4C67"/>
          <w:sz w:val="26"/>
          <w:szCs w:val="26"/>
          <w:lang w:eastAsia="pt-BR"/>
        </w:rPr>
        <w:t> </w:t>
      </w:r>
    </w:p>
    <w:p w:rsidR="004D0137" w:rsidRDefault="00211803" w:rsidP="0021180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A4C67"/>
          <w:sz w:val="26"/>
          <w:szCs w:val="26"/>
          <w:lang w:eastAsia="pt-BR"/>
        </w:rPr>
      </w:pPr>
      <w:r w:rsidRPr="00211803">
        <w:rPr>
          <w:rFonts w:ascii="Arial" w:eastAsia="Times New Roman" w:hAnsi="Arial" w:cs="Arial"/>
          <w:color w:val="4A4C67"/>
          <w:sz w:val="26"/>
          <w:szCs w:val="26"/>
          <w:lang w:eastAsia="pt-BR"/>
        </w:rPr>
        <w:t> </w:t>
      </w:r>
      <w:r w:rsidR="004D0137">
        <w:rPr>
          <w:rFonts w:ascii="Arial" w:eastAsia="Times New Roman" w:hAnsi="Arial" w:cs="Arial"/>
          <w:noProof/>
          <w:color w:val="4A4C67"/>
          <w:sz w:val="26"/>
          <w:szCs w:val="26"/>
          <w:lang w:eastAsia="pt-BR"/>
        </w:rPr>
        <w:drawing>
          <wp:inline distT="0" distB="0" distL="0" distR="0">
            <wp:extent cx="5104737" cy="1959897"/>
            <wp:effectExtent l="0" t="0" r="127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boxapps-banner-ite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781" cy="196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37" w:rsidRDefault="004D0137" w:rsidP="0021180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A4C67"/>
          <w:sz w:val="26"/>
          <w:szCs w:val="26"/>
          <w:lang w:eastAsia="pt-BR"/>
        </w:rPr>
      </w:pPr>
    </w:p>
    <w:p w:rsidR="00211803" w:rsidRPr="00211803" w:rsidRDefault="00211803" w:rsidP="00211803">
      <w:pPr>
        <w:spacing w:after="0" w:line="432" w:lineRule="atLeast"/>
        <w:jc w:val="center"/>
        <w:textAlignment w:val="baseline"/>
        <w:rPr>
          <w:rFonts w:ascii="Arial" w:eastAsia="Times New Roman" w:hAnsi="Arial" w:cs="Arial"/>
          <w:color w:val="4A4C67"/>
          <w:sz w:val="26"/>
          <w:szCs w:val="26"/>
          <w:lang w:eastAsia="pt-BR"/>
        </w:rPr>
      </w:pPr>
      <w:r w:rsidRPr="00211803">
        <w:rPr>
          <w:rFonts w:ascii="Arial" w:eastAsia="Times New Roman" w:hAnsi="Arial" w:cs="Arial"/>
          <w:b/>
          <w:bCs/>
          <w:color w:val="4A4C67"/>
          <w:sz w:val="26"/>
          <w:szCs w:val="26"/>
          <w:bdr w:val="none" w:sz="0" w:space="0" w:color="auto" w:frame="1"/>
          <w:lang w:eastAsia="pt-BR"/>
        </w:rPr>
        <w:t>ADMINISTRAÇÃO</w:t>
      </w:r>
    </w:p>
    <w:p w:rsidR="00211803" w:rsidRPr="00211803" w:rsidRDefault="00211803" w:rsidP="00211803">
      <w:pPr>
        <w:spacing w:after="0" w:line="432" w:lineRule="atLeast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 </w:t>
      </w:r>
    </w:p>
    <w:p w:rsidR="00211803" w:rsidRPr="00211803" w:rsidRDefault="00211803" w:rsidP="004D0137">
      <w:pPr>
        <w:numPr>
          <w:ilvl w:val="0"/>
          <w:numId w:val="1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Emissão de boletos de taxas de rateio e outras, com código de barras para pagamento na rede bancária.</w:t>
      </w:r>
    </w:p>
    <w:p w:rsidR="00211803" w:rsidRPr="00211803" w:rsidRDefault="00211803" w:rsidP="004D0137">
      <w:pPr>
        <w:numPr>
          <w:ilvl w:val="0"/>
          <w:numId w:val="1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Apresentação da composição das receitas</w:t>
      </w:r>
      <w:r w:rsidR="0099216D">
        <w:rPr>
          <w:rFonts w:ascii="Arial" w:eastAsia="Times New Roman" w:hAnsi="Arial" w:cs="Arial"/>
          <w:color w:val="2E403A"/>
          <w:sz w:val="21"/>
          <w:szCs w:val="21"/>
          <w:lang w:eastAsia="pt-BR"/>
        </w:rPr>
        <w:t xml:space="preserve"> e despesas do condomínio</w:t>
      </w: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; </w:t>
      </w:r>
    </w:p>
    <w:p w:rsidR="00211803" w:rsidRPr="00211803" w:rsidRDefault="00211803" w:rsidP="004D0137">
      <w:pPr>
        <w:numPr>
          <w:ilvl w:val="0"/>
          <w:numId w:val="1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Controle e cobrança administrativa; </w:t>
      </w:r>
    </w:p>
    <w:p w:rsidR="00211803" w:rsidRPr="00211803" w:rsidRDefault="00211803" w:rsidP="004D0137">
      <w:pPr>
        <w:numPr>
          <w:ilvl w:val="0"/>
          <w:numId w:val="1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Consultoria financeira; </w:t>
      </w:r>
    </w:p>
    <w:p w:rsidR="00211803" w:rsidRPr="00211803" w:rsidRDefault="00211803" w:rsidP="004D0137">
      <w:pPr>
        <w:numPr>
          <w:ilvl w:val="0"/>
          <w:numId w:val="1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Orientação nos atos administrativos do síndico; </w:t>
      </w:r>
    </w:p>
    <w:p w:rsidR="00211803" w:rsidRPr="00211803" w:rsidRDefault="00211803" w:rsidP="004D0137">
      <w:pPr>
        <w:numPr>
          <w:ilvl w:val="0"/>
          <w:numId w:val="1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 xml:space="preserve">Elaboração de edital para convocação de </w:t>
      </w:r>
      <w:proofErr w:type="spellStart"/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assembléias</w:t>
      </w:r>
      <w:proofErr w:type="spellEnd"/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; </w:t>
      </w:r>
    </w:p>
    <w:p w:rsidR="00211803" w:rsidRPr="00211803" w:rsidRDefault="00211803" w:rsidP="004D0137">
      <w:pPr>
        <w:numPr>
          <w:ilvl w:val="0"/>
          <w:numId w:val="1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 xml:space="preserve">Orientação em </w:t>
      </w:r>
      <w:proofErr w:type="spellStart"/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assembléias</w:t>
      </w:r>
      <w:proofErr w:type="spellEnd"/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 xml:space="preserve"> gerais ordinárias e extraordinárias; </w:t>
      </w:r>
    </w:p>
    <w:p w:rsidR="00211803" w:rsidRPr="00211803" w:rsidRDefault="00211803" w:rsidP="004D0137">
      <w:pPr>
        <w:numPr>
          <w:ilvl w:val="0"/>
          <w:numId w:val="1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Indicação e assessoramento nas negociações com fornecedores, empreiteiras e prestadores de serviços; </w:t>
      </w:r>
    </w:p>
    <w:p w:rsidR="00211803" w:rsidRPr="00211803" w:rsidRDefault="00211803" w:rsidP="004D0137">
      <w:pPr>
        <w:numPr>
          <w:ilvl w:val="0"/>
          <w:numId w:val="1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Pagamentos de despesas condominiais (água, luz, fornecedores, INSS, FGTS, PIS, etc.), desde que os cheques sejam nominais aos favorecidos e entregues 72 horas antes do vencimento; </w:t>
      </w:r>
    </w:p>
    <w:p w:rsidR="00211803" w:rsidRPr="00211803" w:rsidRDefault="00211803" w:rsidP="004D0137">
      <w:pPr>
        <w:numPr>
          <w:ilvl w:val="0"/>
          <w:numId w:val="1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Sistema de malote para transporte de documentos.</w:t>
      </w:r>
    </w:p>
    <w:p w:rsidR="00211803" w:rsidRDefault="00211803" w:rsidP="00211803">
      <w:pPr>
        <w:spacing w:after="0" w:line="432" w:lineRule="atLeast"/>
        <w:jc w:val="center"/>
        <w:textAlignment w:val="baseline"/>
        <w:rPr>
          <w:rFonts w:ascii="Arial" w:eastAsia="Times New Roman" w:hAnsi="Arial" w:cs="Arial"/>
          <w:b/>
          <w:bCs/>
          <w:color w:val="4A4C67"/>
          <w:sz w:val="26"/>
          <w:szCs w:val="26"/>
          <w:bdr w:val="none" w:sz="0" w:space="0" w:color="auto" w:frame="1"/>
          <w:lang w:eastAsia="pt-BR"/>
        </w:rPr>
      </w:pPr>
    </w:p>
    <w:p w:rsidR="00211803" w:rsidRDefault="00211803" w:rsidP="00211803">
      <w:pPr>
        <w:spacing w:after="0" w:line="432" w:lineRule="atLeast"/>
        <w:jc w:val="center"/>
        <w:textAlignment w:val="baseline"/>
        <w:rPr>
          <w:rFonts w:ascii="Arial" w:eastAsia="Times New Roman" w:hAnsi="Arial" w:cs="Arial"/>
          <w:b/>
          <w:bCs/>
          <w:color w:val="4A4C67"/>
          <w:sz w:val="26"/>
          <w:szCs w:val="26"/>
          <w:bdr w:val="none" w:sz="0" w:space="0" w:color="auto" w:frame="1"/>
          <w:lang w:eastAsia="pt-BR"/>
        </w:rPr>
      </w:pPr>
      <w:r w:rsidRPr="00211803">
        <w:rPr>
          <w:rFonts w:ascii="Arial" w:eastAsia="Times New Roman" w:hAnsi="Arial" w:cs="Arial"/>
          <w:b/>
          <w:bCs/>
          <w:color w:val="4A4C67"/>
          <w:sz w:val="26"/>
          <w:szCs w:val="26"/>
          <w:bdr w:val="none" w:sz="0" w:space="0" w:color="auto" w:frame="1"/>
          <w:lang w:eastAsia="pt-BR"/>
        </w:rPr>
        <w:t>CONTABILIDADE</w:t>
      </w:r>
    </w:p>
    <w:p w:rsidR="004D0137" w:rsidRPr="00211803" w:rsidRDefault="004D0137" w:rsidP="00211803">
      <w:pPr>
        <w:spacing w:after="0" w:line="432" w:lineRule="atLeast"/>
        <w:jc w:val="center"/>
        <w:textAlignment w:val="baseline"/>
        <w:rPr>
          <w:rFonts w:ascii="Arial" w:eastAsia="Times New Roman" w:hAnsi="Arial" w:cs="Arial"/>
          <w:color w:val="4A4C67"/>
          <w:sz w:val="26"/>
          <w:szCs w:val="26"/>
          <w:lang w:eastAsia="pt-BR"/>
        </w:rPr>
      </w:pPr>
    </w:p>
    <w:p w:rsidR="00211803" w:rsidRDefault="00211803" w:rsidP="004D0137">
      <w:pPr>
        <w:numPr>
          <w:ilvl w:val="0"/>
          <w:numId w:val="2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Relatório de análise financeira mensal;</w:t>
      </w:r>
    </w:p>
    <w:p w:rsidR="004D0137" w:rsidRDefault="004D0137" w:rsidP="004D0137">
      <w:pPr>
        <w:numPr>
          <w:ilvl w:val="0"/>
          <w:numId w:val="2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E403A"/>
          <w:sz w:val="21"/>
          <w:szCs w:val="21"/>
          <w:lang w:eastAsia="pt-BR"/>
        </w:rPr>
        <w:t>Demonstrativos financeiros com balancete mensal, relatórios contábeis e conciliação bancária;</w:t>
      </w:r>
    </w:p>
    <w:p w:rsidR="004D0137" w:rsidRPr="00211803" w:rsidRDefault="004D0137" w:rsidP="004D0137">
      <w:pPr>
        <w:numPr>
          <w:ilvl w:val="0"/>
          <w:numId w:val="2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E403A"/>
          <w:sz w:val="21"/>
          <w:szCs w:val="21"/>
          <w:lang w:eastAsia="pt-BR"/>
        </w:rPr>
        <w:t>Processamento contábil das receitas e despesas;</w:t>
      </w:r>
    </w:p>
    <w:p w:rsidR="00211803" w:rsidRPr="00211803" w:rsidRDefault="00211803" w:rsidP="004D0137">
      <w:pPr>
        <w:numPr>
          <w:ilvl w:val="0"/>
          <w:numId w:val="2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Relatório de inadimplentes;</w:t>
      </w:r>
    </w:p>
    <w:p w:rsidR="00211803" w:rsidRPr="00211803" w:rsidRDefault="00211803" w:rsidP="004D0137">
      <w:pPr>
        <w:numPr>
          <w:ilvl w:val="0"/>
          <w:numId w:val="2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Atualização de inventário do condomínio;</w:t>
      </w:r>
    </w:p>
    <w:p w:rsidR="00340271" w:rsidRPr="00211803" w:rsidRDefault="00340271" w:rsidP="00340271">
      <w:pPr>
        <w:spacing w:after="0" w:line="432" w:lineRule="atLeast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</w:p>
    <w:p w:rsidR="00211803" w:rsidRDefault="00211803" w:rsidP="00340271">
      <w:pPr>
        <w:spacing w:after="0" w:line="432" w:lineRule="atLeast"/>
        <w:jc w:val="center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b/>
          <w:bCs/>
          <w:color w:val="4A4C67"/>
          <w:sz w:val="26"/>
          <w:szCs w:val="26"/>
          <w:bdr w:val="none" w:sz="0" w:space="0" w:color="auto" w:frame="1"/>
          <w:lang w:eastAsia="pt-BR"/>
        </w:rPr>
        <w:t>RECURSOS HUMANOS</w:t>
      </w: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 </w:t>
      </w:r>
    </w:p>
    <w:p w:rsidR="004D0137" w:rsidRPr="00211803" w:rsidRDefault="004D0137" w:rsidP="00340271">
      <w:pPr>
        <w:spacing w:after="0" w:line="432" w:lineRule="atLeast"/>
        <w:jc w:val="center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</w:p>
    <w:p w:rsidR="00211803" w:rsidRPr="00211803" w:rsidRDefault="00211803" w:rsidP="004D0137">
      <w:pPr>
        <w:numPr>
          <w:ilvl w:val="0"/>
          <w:numId w:val="3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Folha de pagamento e cálculos trabalhistas;</w:t>
      </w:r>
    </w:p>
    <w:p w:rsidR="00211803" w:rsidRPr="00211803" w:rsidRDefault="00211803" w:rsidP="004D0137">
      <w:pPr>
        <w:numPr>
          <w:ilvl w:val="0"/>
          <w:numId w:val="3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Recolhimento de INSS, PIS, Contribuição Sindical, RAIS e FGTS;</w:t>
      </w:r>
    </w:p>
    <w:p w:rsidR="00211803" w:rsidRPr="00211803" w:rsidRDefault="00211803" w:rsidP="004D0137">
      <w:pPr>
        <w:numPr>
          <w:ilvl w:val="0"/>
          <w:numId w:val="3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Controle de férias;</w:t>
      </w:r>
    </w:p>
    <w:p w:rsidR="00211803" w:rsidRPr="00211803" w:rsidRDefault="00211803" w:rsidP="004D0137">
      <w:pPr>
        <w:numPr>
          <w:ilvl w:val="0"/>
          <w:numId w:val="3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Assessoria no recolhimento dos tributos de funcionários t</w:t>
      </w:r>
      <w:r>
        <w:rPr>
          <w:rFonts w:ascii="Arial" w:eastAsia="Times New Roman" w:hAnsi="Arial" w:cs="Arial"/>
          <w:color w:val="2E403A"/>
          <w:sz w:val="21"/>
          <w:szCs w:val="21"/>
          <w:lang w:eastAsia="pt-BR"/>
        </w:rPr>
        <w:t>erceirizados</w:t>
      </w: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;</w:t>
      </w:r>
    </w:p>
    <w:p w:rsidR="00211803" w:rsidRPr="00211803" w:rsidRDefault="00211803" w:rsidP="004D0137">
      <w:pPr>
        <w:numPr>
          <w:ilvl w:val="0"/>
          <w:numId w:val="3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Consultoria na área trabalhista;</w:t>
      </w:r>
    </w:p>
    <w:p w:rsidR="00211803" w:rsidRPr="00211803" w:rsidRDefault="00211803" w:rsidP="004D0137">
      <w:pPr>
        <w:numPr>
          <w:ilvl w:val="0"/>
          <w:numId w:val="3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Acompanhamento de processos judiciais;</w:t>
      </w:r>
    </w:p>
    <w:p w:rsidR="00211803" w:rsidRPr="00211803" w:rsidRDefault="00211803" w:rsidP="004D0137">
      <w:pPr>
        <w:numPr>
          <w:ilvl w:val="0"/>
          <w:numId w:val="3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Consultoria fiscal e previdenciária</w:t>
      </w:r>
    </w:p>
    <w:p w:rsidR="00211803" w:rsidRPr="00211803" w:rsidRDefault="00211803" w:rsidP="004D0137">
      <w:pPr>
        <w:numPr>
          <w:ilvl w:val="0"/>
          <w:numId w:val="3"/>
        </w:numPr>
        <w:spacing w:after="120" w:line="240" w:lineRule="auto"/>
        <w:ind w:left="119" w:hanging="357"/>
        <w:jc w:val="both"/>
        <w:textAlignment w:val="baseline"/>
        <w:rPr>
          <w:rFonts w:ascii="Arial" w:eastAsia="Times New Roman" w:hAnsi="Arial" w:cs="Arial"/>
          <w:color w:val="2E403A"/>
          <w:sz w:val="21"/>
          <w:szCs w:val="21"/>
          <w:lang w:eastAsia="pt-BR"/>
        </w:rPr>
      </w:pPr>
      <w:r w:rsidRPr="00211803">
        <w:rPr>
          <w:rFonts w:ascii="Arial" w:eastAsia="Times New Roman" w:hAnsi="Arial" w:cs="Arial"/>
          <w:color w:val="2E403A"/>
          <w:sz w:val="21"/>
          <w:szCs w:val="21"/>
          <w:lang w:eastAsia="pt-BR"/>
        </w:rPr>
        <w:t>Esclarecimentos sobre a Lei 4.591/64, Código Civil, Convenções e Regimentos Internos;</w:t>
      </w:r>
    </w:p>
    <w:p w:rsidR="000B0D1D" w:rsidRDefault="000B0D1D"/>
    <w:p w:rsidR="00211803" w:rsidRDefault="00211803"/>
    <w:p w:rsidR="004D0137" w:rsidRDefault="00211803" w:rsidP="00211803">
      <w:pPr>
        <w:pStyle w:val="font7"/>
        <w:spacing w:before="0" w:beforeAutospacing="0" w:after="0" w:afterAutospacing="0" w:line="432" w:lineRule="atLeast"/>
        <w:jc w:val="center"/>
        <w:textAlignment w:val="baseline"/>
        <w:rPr>
          <w:rFonts w:ascii="Arial" w:hAnsi="Arial" w:cs="Arial"/>
          <w:b/>
          <w:bCs/>
          <w:color w:val="4A4C67"/>
          <w:sz w:val="26"/>
          <w:szCs w:val="26"/>
          <w:bdr w:val="none" w:sz="0" w:space="0" w:color="auto" w:frame="1"/>
        </w:rPr>
      </w:pPr>
      <w:r>
        <w:rPr>
          <w:rFonts w:ascii="Arial" w:hAnsi="Arial" w:cs="Arial"/>
          <w:b/>
          <w:bCs/>
          <w:color w:val="4A4C67"/>
          <w:sz w:val="26"/>
          <w:szCs w:val="26"/>
          <w:bdr w:val="none" w:sz="0" w:space="0" w:color="auto" w:frame="1"/>
        </w:rPr>
        <w:t>COBRANÇA</w:t>
      </w:r>
    </w:p>
    <w:p w:rsidR="00211803" w:rsidRDefault="00211803" w:rsidP="00211803">
      <w:pPr>
        <w:pStyle w:val="font7"/>
        <w:spacing w:before="0" w:beforeAutospacing="0" w:after="0" w:afterAutospacing="0" w:line="432" w:lineRule="atLeast"/>
        <w:jc w:val="center"/>
        <w:textAlignment w:val="baseline"/>
        <w:rPr>
          <w:rFonts w:ascii="Arial" w:hAnsi="Arial" w:cs="Arial"/>
          <w:color w:val="4A4C67"/>
          <w:sz w:val="26"/>
          <w:szCs w:val="26"/>
        </w:rPr>
      </w:pPr>
      <w:r>
        <w:rPr>
          <w:rFonts w:ascii="Arial" w:hAnsi="Arial" w:cs="Arial"/>
          <w:color w:val="4A4C67"/>
          <w:sz w:val="26"/>
          <w:szCs w:val="26"/>
        </w:rPr>
        <w:t> </w:t>
      </w:r>
    </w:p>
    <w:p w:rsidR="00211803" w:rsidRDefault="00211803" w:rsidP="004D0137">
      <w:pPr>
        <w:pStyle w:val="font8"/>
        <w:numPr>
          <w:ilvl w:val="0"/>
          <w:numId w:val="4"/>
        </w:numPr>
        <w:spacing w:before="0" w:beforeAutospacing="0" w:after="120" w:afterAutospacing="0"/>
        <w:ind w:left="119" w:hanging="357"/>
        <w:jc w:val="both"/>
        <w:textAlignment w:val="baseline"/>
        <w:rPr>
          <w:rFonts w:ascii="Arial" w:hAnsi="Arial" w:cs="Arial"/>
          <w:color w:val="2E403A"/>
          <w:sz w:val="21"/>
          <w:szCs w:val="21"/>
        </w:rPr>
      </w:pPr>
      <w:r>
        <w:rPr>
          <w:rFonts w:ascii="Arial" w:hAnsi="Arial" w:cs="Arial"/>
          <w:color w:val="2E403A"/>
          <w:sz w:val="21"/>
          <w:szCs w:val="21"/>
        </w:rPr>
        <w:t> A CREATIVE envia carta simples de cobrança à unidade que acumula débito com prazo de até 30 dias do vencimento, repassando ao condomínio apenas as despesas de impressão e postagem;</w:t>
      </w:r>
    </w:p>
    <w:p w:rsidR="00211803" w:rsidRDefault="00211803" w:rsidP="004D0137">
      <w:pPr>
        <w:pStyle w:val="font8"/>
        <w:numPr>
          <w:ilvl w:val="0"/>
          <w:numId w:val="4"/>
        </w:numPr>
        <w:spacing w:before="0" w:beforeAutospacing="0" w:after="120" w:afterAutospacing="0"/>
        <w:ind w:left="119" w:hanging="357"/>
        <w:jc w:val="both"/>
        <w:textAlignment w:val="baseline"/>
        <w:rPr>
          <w:rFonts w:ascii="Arial" w:hAnsi="Arial" w:cs="Arial"/>
          <w:color w:val="2E403A"/>
          <w:sz w:val="21"/>
          <w:szCs w:val="21"/>
        </w:rPr>
      </w:pPr>
      <w:r>
        <w:rPr>
          <w:rFonts w:ascii="Arial" w:hAnsi="Arial" w:cs="Arial"/>
          <w:color w:val="2E403A"/>
          <w:sz w:val="21"/>
          <w:szCs w:val="21"/>
        </w:rPr>
        <w:t>A CREATIVE dá continuidade ao processo de cobrança administrativa à unidade que acumula mais de dois débitos com prazo acima de 30 dias do vencimento, repassando ao condomínio as despesas de impressão e postagem mais 10% de honorários após o devido recebimento;</w:t>
      </w:r>
    </w:p>
    <w:p w:rsidR="00211803" w:rsidRDefault="00211803" w:rsidP="004D0137">
      <w:pPr>
        <w:pStyle w:val="font8"/>
        <w:numPr>
          <w:ilvl w:val="0"/>
          <w:numId w:val="4"/>
        </w:numPr>
        <w:spacing w:before="0" w:beforeAutospacing="0" w:after="120" w:afterAutospacing="0"/>
        <w:ind w:left="119" w:hanging="357"/>
        <w:jc w:val="both"/>
        <w:textAlignment w:val="baseline"/>
        <w:rPr>
          <w:rFonts w:ascii="Arial" w:hAnsi="Arial" w:cs="Arial"/>
          <w:color w:val="2E403A"/>
          <w:sz w:val="21"/>
          <w:szCs w:val="21"/>
        </w:rPr>
      </w:pPr>
      <w:r>
        <w:rPr>
          <w:rFonts w:ascii="Arial" w:hAnsi="Arial" w:cs="Arial"/>
          <w:color w:val="2E403A"/>
          <w:sz w:val="21"/>
          <w:szCs w:val="21"/>
        </w:rPr>
        <w:t>Se no prazo de 90 dias a unidade não liquidar o débito, a CREATIVE encaminha a dívida ao seu departamento jurídico, com a prévia autorização da administração do condomínio; </w:t>
      </w:r>
    </w:p>
    <w:p w:rsidR="00211803" w:rsidRDefault="00211803" w:rsidP="004D0137">
      <w:pPr>
        <w:pStyle w:val="font8"/>
        <w:numPr>
          <w:ilvl w:val="0"/>
          <w:numId w:val="4"/>
        </w:numPr>
        <w:spacing w:before="0" w:beforeAutospacing="0" w:after="120" w:afterAutospacing="0"/>
        <w:ind w:left="119" w:hanging="357"/>
        <w:jc w:val="both"/>
        <w:textAlignment w:val="baseline"/>
        <w:rPr>
          <w:rFonts w:ascii="Arial" w:hAnsi="Arial" w:cs="Arial"/>
          <w:color w:val="2E403A"/>
          <w:sz w:val="21"/>
          <w:szCs w:val="21"/>
        </w:rPr>
      </w:pPr>
      <w:r>
        <w:rPr>
          <w:rFonts w:ascii="Arial" w:hAnsi="Arial" w:cs="Arial"/>
          <w:color w:val="2E403A"/>
          <w:sz w:val="21"/>
          <w:szCs w:val="21"/>
        </w:rPr>
        <w:t xml:space="preserve">Ajuizamentos de débitos serão feitos apenas mediante autorização prévia da administração do condomínio e serão executados pelos advogados da CREATIVE, que receberão os honorários da sucumbência determinados pelo juiz. Estes honorários serão pagos pelo perdedor da ação judicial. O condomínio pagará, no início do processo, </w:t>
      </w:r>
      <w:proofErr w:type="gramStart"/>
      <w:r>
        <w:rPr>
          <w:rFonts w:ascii="Arial" w:hAnsi="Arial" w:cs="Arial"/>
          <w:color w:val="2E403A"/>
          <w:sz w:val="21"/>
          <w:szCs w:val="21"/>
        </w:rPr>
        <w:t>as custas</w:t>
      </w:r>
      <w:proofErr w:type="gramEnd"/>
      <w:r>
        <w:rPr>
          <w:rFonts w:ascii="Arial" w:hAnsi="Arial" w:cs="Arial"/>
          <w:color w:val="2E403A"/>
          <w:sz w:val="21"/>
          <w:szCs w:val="21"/>
        </w:rPr>
        <w:t xml:space="preserve"> processuais e as certidões de ônus, documentos necessários para instruir o processo;</w:t>
      </w:r>
    </w:p>
    <w:p w:rsidR="00211803" w:rsidRDefault="00211803" w:rsidP="00211803">
      <w:pPr>
        <w:pStyle w:val="font8"/>
        <w:spacing w:before="0" w:beforeAutospacing="0" w:after="0" w:afterAutospacing="0" w:line="432" w:lineRule="atLeast"/>
        <w:jc w:val="both"/>
        <w:textAlignment w:val="baseline"/>
        <w:rPr>
          <w:rFonts w:ascii="Arial" w:hAnsi="Arial" w:cs="Arial"/>
          <w:color w:val="2E403A"/>
          <w:sz w:val="21"/>
          <w:szCs w:val="21"/>
        </w:rPr>
      </w:pPr>
      <w:r>
        <w:rPr>
          <w:rFonts w:ascii="Arial" w:hAnsi="Arial" w:cs="Arial"/>
          <w:color w:val="2E403A"/>
          <w:sz w:val="21"/>
          <w:szCs w:val="21"/>
        </w:rPr>
        <w:t> </w:t>
      </w:r>
    </w:p>
    <w:p w:rsidR="00211803" w:rsidRDefault="00211803" w:rsidP="00A13CE9">
      <w:pPr>
        <w:pStyle w:val="font8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E403A"/>
          <w:sz w:val="21"/>
          <w:szCs w:val="21"/>
        </w:rPr>
      </w:pPr>
      <w:r>
        <w:rPr>
          <w:rFonts w:ascii="Arial" w:hAnsi="Arial" w:cs="Arial"/>
          <w:color w:val="2E403A"/>
          <w:sz w:val="21"/>
          <w:szCs w:val="21"/>
        </w:rPr>
        <w:t> * </w:t>
      </w:r>
      <w:r w:rsidRPr="00340271">
        <w:rPr>
          <w:rFonts w:ascii="Arial" w:hAnsi="Arial" w:cs="Arial"/>
          <w:i/>
          <w:color w:val="2E403A"/>
          <w:sz w:val="21"/>
          <w:szCs w:val="21"/>
        </w:rPr>
        <w:t>Os relatórios de inadimplentes fornecidos por outra administradora de condomínios é de responsabilidade daquela empresa e do condomínio, eximindo a CREATIVE de qualquer responsabilidade quanto a pendências indevidas de condôminos</w:t>
      </w:r>
      <w:r>
        <w:rPr>
          <w:rFonts w:ascii="Arial" w:hAnsi="Arial" w:cs="Arial"/>
          <w:color w:val="2E403A"/>
          <w:sz w:val="21"/>
          <w:szCs w:val="21"/>
        </w:rPr>
        <w:t>.</w:t>
      </w:r>
    </w:p>
    <w:p w:rsidR="00211803" w:rsidRDefault="00211803" w:rsidP="00340271">
      <w:pPr>
        <w:pStyle w:val="font8"/>
        <w:spacing w:before="0" w:beforeAutospacing="0" w:after="0" w:afterAutospacing="0" w:line="432" w:lineRule="atLeast"/>
        <w:jc w:val="both"/>
        <w:textAlignment w:val="baseline"/>
      </w:pPr>
      <w:r>
        <w:rPr>
          <w:rFonts w:ascii="Arial" w:hAnsi="Arial" w:cs="Arial"/>
          <w:color w:val="2E403A"/>
          <w:sz w:val="21"/>
          <w:szCs w:val="21"/>
        </w:rPr>
        <w:t> </w:t>
      </w:r>
      <w:bookmarkStart w:id="0" w:name="_GoBack"/>
      <w:bookmarkEnd w:id="0"/>
    </w:p>
    <w:sectPr w:rsidR="00211803" w:rsidSect="00340271">
      <w:headerReference w:type="default" r:id="rId9"/>
      <w:footerReference w:type="default" r:id="rId10"/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683" w:rsidRDefault="00357683" w:rsidP="00340271">
      <w:pPr>
        <w:spacing w:after="0" w:line="240" w:lineRule="auto"/>
      </w:pPr>
      <w:r>
        <w:separator/>
      </w:r>
    </w:p>
  </w:endnote>
  <w:endnote w:type="continuationSeparator" w:id="0">
    <w:p w:rsidR="00357683" w:rsidRDefault="00357683" w:rsidP="0034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CE9" w:rsidRPr="00340271" w:rsidRDefault="00A13CE9" w:rsidP="00340271">
    <w:pPr>
      <w:pStyle w:val="Rodap"/>
      <w:tabs>
        <w:tab w:val="clear" w:pos="4252"/>
        <w:tab w:val="clear" w:pos="8504"/>
        <w:tab w:val="left" w:pos="977"/>
      </w:tabs>
      <w:jc w:val="center"/>
      <w:rPr>
        <w:sz w:val="18"/>
        <w:szCs w:val="18"/>
      </w:rPr>
    </w:pPr>
    <w:r>
      <w:rPr>
        <w:sz w:val="18"/>
        <w:szCs w:val="18"/>
      </w:rPr>
      <w:t xml:space="preserve">CREATIVE Gestão e Tecnologia </w:t>
    </w:r>
    <w:proofErr w:type="spellStart"/>
    <w:r>
      <w:rPr>
        <w:sz w:val="18"/>
        <w:szCs w:val="18"/>
      </w:rPr>
      <w:t>Ltda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683" w:rsidRDefault="00357683" w:rsidP="00340271">
      <w:pPr>
        <w:spacing w:after="0" w:line="240" w:lineRule="auto"/>
      </w:pPr>
      <w:r>
        <w:separator/>
      </w:r>
    </w:p>
  </w:footnote>
  <w:footnote w:type="continuationSeparator" w:id="0">
    <w:p w:rsidR="00357683" w:rsidRDefault="00357683" w:rsidP="00340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CE9" w:rsidRDefault="00A13CE9" w:rsidP="00340271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047329" cy="389614"/>
          <wp:effectExtent l="0" t="0" r="63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352889609_Creativ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239" cy="38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C51"/>
    <w:multiLevelType w:val="multilevel"/>
    <w:tmpl w:val="4072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144254"/>
    <w:multiLevelType w:val="multilevel"/>
    <w:tmpl w:val="878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6E4E62"/>
    <w:multiLevelType w:val="multilevel"/>
    <w:tmpl w:val="A442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BD2446"/>
    <w:multiLevelType w:val="multilevel"/>
    <w:tmpl w:val="824C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03"/>
    <w:rsid w:val="000A5FFA"/>
    <w:rsid w:val="000B0D1D"/>
    <w:rsid w:val="00146349"/>
    <w:rsid w:val="00211803"/>
    <w:rsid w:val="00340271"/>
    <w:rsid w:val="00357683"/>
    <w:rsid w:val="00485C35"/>
    <w:rsid w:val="004D0137"/>
    <w:rsid w:val="008A6130"/>
    <w:rsid w:val="008C78CB"/>
    <w:rsid w:val="0099216D"/>
    <w:rsid w:val="00A13CE9"/>
    <w:rsid w:val="00E0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Theme="minorHAnsi" w:hAnsi="Microsoft Sans Serif" w:cstheme="minorBidi"/>
        <w:sz w:val="24"/>
        <w:szCs w:val="22"/>
        <w:lang w:val="pt-BR" w:eastAsia="en-US" w:bidi="ar-SA"/>
      </w:rPr>
    </w:rPrDefault>
    <w:pPrDefault>
      <w:pPr>
        <w:spacing w:after="3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har"/>
    <w:uiPriority w:val="9"/>
    <w:qFormat/>
    <w:rsid w:val="0021180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rsid w:val="00211803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font7">
    <w:name w:val="font_7"/>
    <w:basedOn w:val="Normal"/>
    <w:rsid w:val="0021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14">
    <w:name w:val="color_14"/>
    <w:basedOn w:val="Fontepargpadro"/>
    <w:rsid w:val="00211803"/>
  </w:style>
  <w:style w:type="paragraph" w:customStyle="1" w:styleId="font8">
    <w:name w:val="font_8"/>
    <w:basedOn w:val="Normal"/>
    <w:rsid w:val="0021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40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0271"/>
  </w:style>
  <w:style w:type="paragraph" w:styleId="Rodap">
    <w:name w:val="footer"/>
    <w:basedOn w:val="Normal"/>
    <w:link w:val="RodapChar"/>
    <w:uiPriority w:val="99"/>
    <w:unhideWhenUsed/>
    <w:rsid w:val="00340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0271"/>
  </w:style>
  <w:style w:type="paragraph" w:styleId="Textodebalo">
    <w:name w:val="Balloon Text"/>
    <w:basedOn w:val="Normal"/>
    <w:link w:val="TextodebaloChar"/>
    <w:uiPriority w:val="99"/>
    <w:semiHidden/>
    <w:unhideWhenUsed/>
    <w:rsid w:val="0034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2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0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Theme="minorHAnsi" w:hAnsi="Microsoft Sans Serif" w:cstheme="minorBidi"/>
        <w:sz w:val="24"/>
        <w:szCs w:val="22"/>
        <w:lang w:val="pt-BR" w:eastAsia="en-US" w:bidi="ar-SA"/>
      </w:rPr>
    </w:rPrDefault>
    <w:pPrDefault>
      <w:pPr>
        <w:spacing w:after="3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har"/>
    <w:uiPriority w:val="9"/>
    <w:qFormat/>
    <w:rsid w:val="0021180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rsid w:val="00211803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font7">
    <w:name w:val="font_7"/>
    <w:basedOn w:val="Normal"/>
    <w:rsid w:val="0021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14">
    <w:name w:val="color_14"/>
    <w:basedOn w:val="Fontepargpadro"/>
    <w:rsid w:val="00211803"/>
  </w:style>
  <w:style w:type="paragraph" w:customStyle="1" w:styleId="font8">
    <w:name w:val="font_8"/>
    <w:basedOn w:val="Normal"/>
    <w:rsid w:val="0021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40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0271"/>
  </w:style>
  <w:style w:type="paragraph" w:styleId="Rodap">
    <w:name w:val="footer"/>
    <w:basedOn w:val="Normal"/>
    <w:link w:val="RodapChar"/>
    <w:uiPriority w:val="99"/>
    <w:unhideWhenUsed/>
    <w:rsid w:val="00340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0271"/>
  </w:style>
  <w:style w:type="paragraph" w:styleId="Textodebalo">
    <w:name w:val="Balloon Text"/>
    <w:basedOn w:val="Normal"/>
    <w:link w:val="TextodebaloChar"/>
    <w:uiPriority w:val="99"/>
    <w:semiHidden/>
    <w:unhideWhenUsed/>
    <w:rsid w:val="0034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2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0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sergiocaetanodesa@gmail.com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Caetano de Sá</dc:creator>
  <cp:lastModifiedBy>Sergio Caetano de Sá</cp:lastModifiedBy>
  <cp:revision>5</cp:revision>
  <dcterms:created xsi:type="dcterms:W3CDTF">2017-02-21T17:58:00Z</dcterms:created>
  <dcterms:modified xsi:type="dcterms:W3CDTF">2017-02-23T13:35:00Z</dcterms:modified>
</cp:coreProperties>
</file>