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0845" cy="23495"/>
                <wp:effectExtent l="0" t="0" r="0" b="0"/>
                <wp:docPr id="1" name="Shape1"/>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3647"/>
        <w:gridCol w:w="1745"/>
        <w:gridCol w:w="1078"/>
        <w:gridCol w:w="2160"/>
      </w:tblGrid>
      <w:tr>
        <w:trPr/>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745"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078"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2160"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c>
          <w:tcPr>
            <w:tcW w:w="364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ascii="Times New Roman" w:hAnsi="Times New Roman"/>
                <w:b w:val="false"/>
                <w:bCs w:val="false"/>
                <w:caps w:val="false"/>
                <w:smallCaps w:val="false"/>
                <w:color w:val="auto"/>
                <w:kern w:val="0"/>
                <w:sz w:val="24"/>
                <w:szCs w:val="24"/>
                <w:lang w:val="en-US" w:eastAsia="zh-CN" w:bidi="hi-IN"/>
              </w:rPr>
              <w:t>Controllo del soddisfacimento del vincolo aritmetico all’interno dei blocchi</w:t>
            </w:r>
          </w:p>
        </w:tc>
        <w:tc>
          <w:tcPr>
            <w:tcW w:w="174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ascii="Times New Roman" w:hAnsi="Times New Roman"/>
                <w:b w:val="false"/>
                <w:bCs w:val="false"/>
                <w:caps w:val="false"/>
                <w:smallCaps w:val="false"/>
              </w:rPr>
              <w:t>26-06-2021</w:t>
            </w:r>
          </w:p>
        </w:tc>
        <w:tc>
          <w:tcPr>
            <w:tcW w:w="1078"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2160"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74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078"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2160"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76" w:hRule="atLeast"/>
        </w:trPr>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74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078"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2160"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74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078"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2160"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0845" cy="23495"/>
                <wp:effectExtent l="0" t="0" r="0" b="0"/>
                <wp:docPr id="2" name="Shape2"/>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0845" cy="23495"/>
                <wp:effectExtent l="0" t="0" r="0" b="0"/>
                <wp:docPr id="3" name="Shape3"/>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interattica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 xml:space="preserve">Una volta specificato </w:t>
            </w:r>
            <w:r>
              <w:rPr>
                <w:rFonts w:eastAsia="FreeSans" w:cs="FreeSans"/>
                <w:color w:val="auto"/>
                <w:kern w:val="0"/>
                <w:sz w:val="24"/>
                <w:szCs w:val="24"/>
                <w:lang w:val="en-US" w:eastAsia="zh-CN" w:bidi="hi-IN"/>
              </w:rPr>
              <w:t xml:space="preserve">e confermato </w:t>
            </w:r>
            <w:r>
              <w:rPr>
                <w:rFonts w:eastAsia="FreeSans" w:cs="FreeSans"/>
                <w:color w:val="auto"/>
                <w:kern w:val="0"/>
                <w:sz w:val="24"/>
                <w:szCs w:val="24"/>
                <w:lang w:val="en-US" w:eastAsia="zh-CN" w:bidi="hi-IN"/>
              </w:rPr>
              <w:t xml:space="preserve">lo schema di gioco </w:t>
            </w:r>
            <w:r>
              <w:rPr>
                <w:rFonts w:eastAsia="FreeSans" w:cs="FreeSans"/>
                <w:color w:val="auto"/>
                <w:kern w:val="0"/>
                <w:sz w:val="24"/>
                <w:szCs w:val="24"/>
                <w:lang w:val="en-US" w:eastAsia="zh-CN" w:bidi="hi-IN"/>
              </w:rPr>
              <w:t>l</w:t>
            </w:r>
            <w:r>
              <w:rPr>
                <w:rFonts w:eastAsia="FreeSans" w:cs="FreeSans"/>
                <w:color w:val="auto"/>
                <w:kern w:val="0"/>
                <w:sz w:val="24"/>
                <w:szCs w:val="24"/>
                <w:lang w:val="en-US" w:eastAsia="zh-CN" w:bidi="hi-IN"/>
              </w:rPr>
              <w:t>e celle della griglia diventano campi di testo interattivi in</w:t>
            </w:r>
            <w:r>
              <w:rPr>
                <w:rFonts w:eastAsia="FreeSans" w:cs="FreeSans"/>
                <w:color w:val="auto"/>
                <w:kern w:val="0"/>
                <w:sz w:val="24"/>
                <w:szCs w:val="24"/>
                <w:lang w:val="en-US" w:eastAsia="zh-CN" w:bidi="hi-IN"/>
              </w:rPr>
              <w:t xml:space="preserve">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w:t>
            </w:r>
            <w:r>
              <w:rPr/>
              <w:t xml:space="preserve">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Calcol</w:t>
            </w:r>
            <w:r>
              <w:rPr/>
              <w:t>o</w:t>
            </w:r>
            <w:r>
              <w:rPr/>
              <w:t xml:space="preserve"> </w:t>
            </w:r>
            <w:r>
              <w:rPr/>
              <w:t>del</w:t>
            </w:r>
            <w:r>
              <w:rPr/>
              <w:t xml:space="preserve">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w:t>
            </w:r>
            <w:r>
              <w:rPr/>
              <w:t>che</w:t>
            </w:r>
            <w:r>
              <w:rPr/>
              <w:t xml:space="preserv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Cambria" w:cs="Cambria"/>
          <w:b/>
          <w:i/>
          <w:caps w:val="false"/>
          <w:smallCaps w:val="false"/>
          <w:color w:val="4F81BD"/>
          <w:sz w:val="28"/>
          <w:szCs w:val="28"/>
          <w:lang w:val="en-US" w:eastAsia="zh-CN" w:bidi="hi-IN"/>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360"/>
        <w:rPr/>
      </w:pPr>
      <w:r>
        <w:rPr>
          <w:rFonts w:eastAsia="Arial" w:cs="Arial" w:ascii="Arial" w:hAnsi="Arial"/>
          <w:b/>
          <w:i/>
          <w:iCs w:val="false"/>
          <w:caps w:val="false"/>
          <w:smallCaps w:val="false"/>
          <w:color w:val="4F81BD"/>
          <w:kern w:val="0"/>
          <w:sz w:val="28"/>
          <w:szCs w:val="28"/>
          <w:shd w:fill="auto" w:val="clear"/>
          <w:lang w:val="it-IT" w:eastAsia="zh-CN" w:bidi="hi-IN"/>
        </w:rPr>
        <mc:AlternateContent>
          <mc:Choice Requires="wps">
            <w:drawing>
              <wp:inline distT="0" distB="0" distL="0" distR="0">
                <wp:extent cx="5490845" cy="23495"/>
                <wp:effectExtent l="0" t="0" r="0" b="0"/>
                <wp:docPr id="4" name="Shape3_0"/>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_0"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 xml:space="preserve">1. </w:t>
      </w:r>
      <w:r>
        <w:rPr>
          <w:rFonts w:eastAsia="Arial" w:cs="Arial" w:ascii="Arial" w:hAnsi="Arial"/>
          <w:i w:val="false"/>
          <w:iCs w:val="false"/>
          <w:caps w:val="false"/>
          <w:smallCaps w:val="false"/>
          <w:color w:val="000000"/>
          <w:kern w:val="0"/>
          <w:sz w:val="24"/>
          <w:szCs w:val="24"/>
          <w:shd w:fill="auto" w:val="clear"/>
          <w:lang w:val="it-IT" w:eastAsia="zh-CN" w:bidi="hi-IN"/>
        </w:rPr>
        <w:t>Salvataggio</w:t>
      </w:r>
      <w:r>
        <w:rPr>
          <w:rFonts w:eastAsia="Arial" w:cs="Arial" w:ascii="Arial" w:hAnsi="Arial"/>
          <w:i w:val="false"/>
          <w:iCs w:val="false"/>
          <w:caps w:val="false"/>
          <w:smallCaps w:val="false"/>
          <w:color w:val="000000"/>
          <w:kern w:val="0"/>
          <w:sz w:val="24"/>
          <w:szCs w:val="24"/>
          <w:shd w:fill="auto" w:val="clear"/>
          <w:lang w:val="it-IT" w:eastAsia="zh-CN" w:bidi="hi-IN"/>
        </w:rPr>
        <w:t xml:space="preserve"> non solo della griglia di gioco iniziale ma </w:t>
      </w:r>
      <w:r>
        <w:rPr>
          <w:rFonts w:eastAsia="Arial" w:cs="Arial" w:ascii="Arial" w:hAnsi="Arial"/>
          <w:i w:val="false"/>
          <w:iCs w:val="false"/>
          <w:caps w:val="false"/>
          <w:smallCaps w:val="false"/>
          <w:color w:val="000000"/>
          <w:kern w:val="0"/>
          <w:sz w:val="24"/>
          <w:szCs w:val="24"/>
          <w:shd w:fill="auto" w:val="clear"/>
          <w:lang w:val="it-IT" w:eastAsia="zh-CN" w:bidi="hi-IN"/>
        </w:rPr>
        <w:t>anche degli inserimenti dell’utente</w:t>
      </w:r>
    </w:p>
    <w:p>
      <w:pPr>
        <w:pStyle w:val="Title"/>
        <w:spacing w:lineRule="auto" w:line="360"/>
        <w:rPr>
          <w:rFonts w:ascii="Arial" w:hAnsi="Arial" w:eastAsia="Arial" w:cs="Arial"/>
          <w:i w:val="false"/>
          <w:i w:val="false"/>
          <w:iCs w:val="false"/>
          <w:caps w:val="false"/>
          <w:smallCaps w:val="false"/>
          <w:color w:val="000000"/>
          <w:kern w:val="0"/>
          <w:sz w:val="24"/>
          <w:szCs w:val="24"/>
          <w:shd w:fill="auto" w:val="clear"/>
          <w:lang w:val="it-IT" w:eastAsia="zh-CN" w:bidi="hi-IN"/>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2. </w:t>
      </w:r>
      <w:r>
        <w:rPr>
          <w:rFonts w:eastAsia="Arial" w:cs="Arial" w:ascii="Arial" w:hAnsi="Arial"/>
          <w:i w:val="false"/>
          <w:iCs w:val="false"/>
          <w:caps w:val="false"/>
          <w:smallCaps w:val="false"/>
          <w:color w:val="000000"/>
          <w:kern w:val="0"/>
          <w:sz w:val="24"/>
          <w:szCs w:val="24"/>
          <w:shd w:fill="auto" w:val="clear"/>
          <w:lang w:val="it-IT" w:eastAsia="zh-CN" w:bidi="hi-IN"/>
        </w:rPr>
        <w:t>P</w:t>
      </w:r>
      <w:r>
        <w:rPr>
          <w:rFonts w:eastAsia="Arial" w:cs="Arial" w:ascii="Arial" w:hAnsi="Arial"/>
          <w:i w:val="false"/>
          <w:iCs w:val="false"/>
          <w:caps w:val="false"/>
          <w:smallCaps w:val="false"/>
          <w:color w:val="000000"/>
          <w:kern w:val="0"/>
          <w:sz w:val="24"/>
          <w:szCs w:val="24"/>
          <w:shd w:fill="auto" w:val="clear"/>
          <w:lang w:val="it-IT" w:eastAsia="zh-CN" w:bidi="hi-IN"/>
        </w:rPr>
        <w:t>ulsante per cancellare tutti gli inserimenti</w:t>
      </w:r>
    </w:p>
    <w:p>
      <w:pPr>
        <w:pStyle w:val="Title"/>
        <w:spacing w:lineRule="auto" w:line="360"/>
        <w:rPr/>
      </w:pPr>
      <w:r>
        <w:rPr>
          <w:rFonts w:eastAsia="Arial" w:cs="Arial" w:ascii="Arial" w:hAnsi="Arial"/>
          <w:i/>
          <w:iCs w:val="false"/>
          <w:caps w:val="false"/>
          <w:smallCaps w:val="false"/>
          <w:color w:val="595959"/>
          <w:kern w:val="0"/>
          <w:sz w:val="22"/>
          <w:szCs w:val="22"/>
          <w:shd w:fill="auto" w:val="clear"/>
          <w:lang w:val="it-IT" w:eastAsia="zh-CN" w:bidi="hi-IN"/>
        </w:rPr>
        <w:t>???</w:t>
      </w:r>
    </w:p>
    <w:p>
      <w:pPr>
        <w:pStyle w:val="Title"/>
        <w:spacing w:lineRule="auto" w:line="360"/>
        <w:rPr/>
      </w:pPr>
      <w:r>
        <w:rPr/>
      </w:r>
    </w:p>
    <w:p>
      <w:pPr>
        <w:pStyle w:val="Title"/>
        <w:spacing w:lineRule="auto" w:line="240" w:before="0" w:after="0"/>
        <w:jc w:val="both"/>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p>
    <w:p>
      <w:pPr>
        <w:pStyle w:val="Title"/>
        <w:spacing w:lineRule="auto" w:line="240"/>
        <w:rPr/>
      </w:pPr>
      <w:r>
        <w:rPr/>
        <mc:AlternateContent>
          <mc:Choice Requires="wps">
            <w:drawing>
              <wp:inline distT="0" distB="0" distL="0" distR="0">
                <wp:extent cx="5490845" cy="23495"/>
                <wp:effectExtent l="0" t="0" r="0" b="0"/>
                <wp:docPr id="5" name="Shape3_1"/>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_1"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 xml:space="preserve">L’utente seleziona </w:t>
            </w:r>
            <w:r>
              <w:rPr>
                <w:rFonts w:eastAsia="FreeSans" w:cs="FreeSans"/>
                <w:b w:val="false"/>
                <w:bCs w:val="false"/>
                <w:i w:val="false"/>
                <w:iCs w:val="false"/>
                <w:color w:val="auto"/>
                <w:kern w:val="0"/>
                <w:sz w:val="24"/>
                <w:szCs w:val="24"/>
                <w:lang w:val="en-US" w:eastAsia="zh-CN" w:bidi="hi-IN"/>
              </w:rPr>
              <w:t>le celle</w:t>
            </w:r>
            <w:r>
              <w:rPr>
                <w:rFonts w:eastAsia="FreeSans" w:cs="FreeSans"/>
                <w:b w:val="false"/>
                <w:bCs w:val="false"/>
                <w:i w:val="false"/>
                <w:iCs w:val="false"/>
                <w:color w:val="auto"/>
                <w:kern w:val="0"/>
                <w:sz w:val="24"/>
                <w:szCs w:val="24"/>
                <w:lang w:val="en-US" w:eastAsia="zh-CN" w:bidi="hi-IN"/>
              </w:rPr>
              <w:t xml:space="preserve"> per costruire i blocchi di uno schema di gioco </w:t>
            </w:r>
            <w:r>
              <w:rPr>
                <w:rFonts w:eastAsia="FreeSans" w:cs="FreeSans"/>
                <w:b w:val="false"/>
                <w:bCs w:val="false"/>
                <w:i w:val="false"/>
                <w:iCs w:val="false"/>
                <w:color w:val="auto"/>
                <w:kern w:val="0"/>
                <w:sz w:val="24"/>
                <w:szCs w:val="24"/>
                <w:lang w:val="en-US" w:eastAsia="zh-CN" w:bidi="hi-IN"/>
              </w:rPr>
              <w:t>fin quando ogni cella appartiene ad un blocco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pPr>
            <w:r>
              <w:rPr>
                <w:rFonts w:ascii="Times New Roman" w:hAnsi="Times New Roman"/>
                <w:b/>
                <w:bCs/>
                <w:color w:val="auto"/>
                <w:sz w:val="24"/>
                <w:szCs w:val="24"/>
              </w:rPr>
              <w:t xml:space="preserve">1a. </w:t>
            </w:r>
            <w:r>
              <w:rPr>
                <w:rFonts w:eastAsia="Arial" w:cs="Arial" w:ascii="Times New Roman" w:hAnsi="Times New Roman"/>
                <w:b w:val="false"/>
                <w:bCs w:val="false"/>
                <w:i w:val="false"/>
                <w:iCs w:val="false"/>
                <w:caps w:val="false"/>
                <w:smallCaps w:val="false"/>
                <w:color w:val="000000"/>
                <w:kern w:val="0"/>
                <w:sz w:val="24"/>
                <w:szCs w:val="24"/>
                <w:shd w:fill="auto" w:val="clear"/>
                <w:lang w:val="it-IT" w:eastAsia="zh-CN" w:bidi="hi-IN"/>
              </w:rPr>
              <w:t>U</w:t>
            </w:r>
            <w:r>
              <w:rPr>
                <w:rFonts w:ascii="Times New Roman" w:hAnsi="Times New Roman"/>
                <w:b w:val="false"/>
                <w:bCs w:val="false"/>
                <w:color w:val="auto"/>
                <w:sz w:val="24"/>
                <w:szCs w:val="24"/>
              </w:rPr>
              <w:t xml:space="preserve">na griglia di gioco è stata precedentemente definita ed eventualmente riempita con dei numeri: il sistema chiede all’utente se vuole </w:t>
            </w:r>
            <w:r>
              <w:rPr>
                <w:rFonts w:ascii="Times New Roman" w:hAnsi="Times New Roman"/>
                <w:b w:val="false"/>
                <w:bCs w:val="false"/>
                <w:color w:val="auto"/>
                <w:sz w:val="24"/>
                <w:szCs w:val="24"/>
                <w:u w:val="single"/>
              </w:rPr>
              <w:t xml:space="preserve">effettuare il salvataggio della </w:t>
            </w:r>
            <w:r>
              <w:rPr>
                <w:rFonts w:eastAsia="Cambria" w:cs="Cambria" w:ascii="Times New Roman" w:hAnsi="Times New Roman"/>
                <w:b w:val="false"/>
                <w:bCs w:val="false"/>
                <w:caps w:val="false"/>
                <w:smallCaps w:val="false"/>
                <w:color w:val="auto"/>
                <w:kern w:val="0"/>
                <w:sz w:val="24"/>
                <w:szCs w:val="24"/>
                <w:u w:val="single"/>
                <w:lang w:val="en-US" w:eastAsia="zh-CN" w:bidi="hi-IN"/>
              </w:rPr>
              <w:t>griglia di gioco corrente</w:t>
            </w:r>
            <w:r>
              <w:rPr>
                <w:rFonts w:eastAsia="Cambria" w:cs="Cambria" w:ascii="Times New Roman" w:hAnsi="Times New Roman"/>
                <w:b w:val="false"/>
                <w:bCs w:val="false"/>
                <w:caps w:val="false"/>
                <w:smallCaps w:val="false"/>
                <w:color w:val="auto"/>
                <w:kern w:val="0"/>
                <w:sz w:val="24"/>
                <w:szCs w:val="24"/>
                <w:u w:val="none"/>
                <w:lang w:val="en-US" w:eastAsia="zh-CN" w:bidi="hi-IN"/>
              </w:rPr>
              <w:t xml:space="preserve">  prima di procedere alla creazione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Questa operazione porta alla creazione di una griglia di gioco pronta per essere riempita con dei numeri dall’utente</w:t>
            </w:r>
          </w:p>
        </w:tc>
      </w:tr>
    </w:tbl>
    <w:p>
      <w:pPr>
        <w:pStyle w:val="TextBody"/>
        <w:spacing w:lineRule="auto" w:line="240"/>
        <w:rPr/>
      </w:pPr>
      <w:r>
        <w:rPr/>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rPr>
                <w:b/>
                <w:b/>
                <w:bCs/>
                <w:i w:val="false"/>
                <w:i w:val="false"/>
                <w:iCs w:val="false"/>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2b. </w:t>
            </w:r>
            <w:r>
              <w:rPr>
                <w:b w:val="false"/>
                <w:bCs w:val="false"/>
                <w:i w:val="false"/>
                <w:iCs w:val="false"/>
              </w:rPr>
              <w:t>L’utente sceglie il nome di un file che esiste già</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blocca l’inserimento di nuovi numeri e la modifica dei numeri fino ad ora inseriti</w:t>
            </w:r>
          </w:p>
          <w:p>
            <w:pPr>
              <w:pStyle w:val="TableContents"/>
              <w:widowControl w:val="false"/>
              <w:rPr>
                <w:b/>
                <w:b/>
                <w:bCs/>
                <w:i w:val="false"/>
                <w:i w:val="false"/>
                <w:iCs w:val="false"/>
              </w:rPr>
            </w:pPr>
            <w:r>
              <w:rPr>
                <w:b/>
                <w:bCs/>
                <w:i w:val="false"/>
                <w:iCs w:val="false"/>
              </w:rPr>
              <w:t xml:space="preserve">4.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le soluzioni e mette a disposizione dell’utente un sistema di navigazione per visualizzarle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scorre tramite GUI tra le soluzioni fornite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 tuttavia termina implicitamente la partita corrente</w:t>
            </w:r>
          </w:p>
        </w:tc>
      </w:tr>
    </w:tbl>
    <w:p>
      <w:pPr>
        <w:pStyle w:val="Normal"/>
        <w:spacing w:lineRule="auto" w:line="360"/>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Excluded Requirements</w:t>
      </w:r>
    </w:p>
    <w:p>
      <w:pPr>
        <w:pStyle w:val="Title"/>
        <w:spacing w:lineRule="auto" w:line="360"/>
        <w:rPr/>
      </w:pPr>
      <w:r>
        <w:rPr/>
        <mc:AlternateContent>
          <mc:Choice Requires="wps">
            <w:drawing>
              <wp:inline distT="0" distB="0" distL="0" distR="0">
                <wp:extent cx="5490845" cy="23495"/>
                <wp:effectExtent l="0" t="0" r="0" b="0"/>
                <wp:docPr id="6" name="Shape6"/>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LOnormal"/>
        <w:rPr/>
      </w:pPr>
      <w:r>
        <w:rPr/>
        <mc:AlternateContent>
          <mc:Choice Requires="wps">
            <w:drawing>
              <wp:inline distT="0" distB="0" distL="0" distR="0">
                <wp:extent cx="5490845" cy="23495"/>
                <wp:effectExtent l="0" t="0" r="0" b="0"/>
                <wp:docPr id="7" name="Shape7"/>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.5 Assunzioni</w:t>
      </w:r>
    </w:p>
    <w:p>
      <w:pPr>
        <w:pStyle w:val="Title"/>
        <w:spacing w:lineRule="auto" w:line="240" w:before="0" w:after="0"/>
        <w:jc w:val="both"/>
        <w:rPr/>
      </w:pPr>
      <w:r>
        <w:rPr/>
        <mc:AlternateContent>
          <mc:Choice Requires="wps">
            <w:drawing>
              <wp:inline distT="0" distB="0" distL="0" distR="0">
                <wp:extent cx="5490845" cy="23495"/>
                <wp:effectExtent l="0" t="0" r="0" b="0"/>
                <wp:docPr id="8" name="Shape8"/>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LOnormal"/>
        <w:rPr/>
      </w:pPr>
      <w:r>
        <w:rPr/>
        <mc:AlternateContent>
          <mc:Choice Requires="wps">
            <w:drawing>
              <wp:inline distT="0" distB="0" distL="0" distR="0">
                <wp:extent cx="5490845" cy="23495"/>
                <wp:effectExtent l="0" t="0" r="0" b="0"/>
                <wp:docPr id="9" name="Shape9"/>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.6 Use Case Diagrams</w:t>
      </w:r>
    </w:p>
    <w:p>
      <w:pPr>
        <w:pStyle w:val="LOnormal"/>
        <w:rPr/>
      </w:pPr>
      <w:r>
        <w:rPr/>
        <mc:AlternateContent>
          <mc:Choice Requires="wps">
            <w:drawing>
              <wp:inline distT="0" distB="0" distL="0" distR="0">
                <wp:extent cx="5490845" cy="23495"/>
                <wp:effectExtent l="0" t="0" r="0" b="0"/>
                <wp:docPr id="10" name="Shape10"/>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1">
            <wp:simplePos x="0" y="0"/>
            <wp:positionH relativeFrom="column">
              <wp:align>center</wp:align>
            </wp:positionH>
            <wp:positionV relativeFrom="paragraph">
              <wp:posOffset>409575</wp:posOffset>
            </wp:positionV>
            <wp:extent cx="6280150" cy="37172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rcRect l="0" t="0" r="834" b="1226"/>
                    <a:stretch>
                      <a:fillRect/>
                    </a:stretch>
                  </pic:blipFill>
                  <pic:spPr bwMode="auto">
                    <a:xfrm>
                      <a:off x="0" y="0"/>
                      <a:ext cx="6280150" cy="3717290"/>
                    </a:xfrm>
                    <a:prstGeom prst="rect">
                      <a:avLst/>
                    </a:prstGeom>
                  </pic:spPr>
                </pic:pic>
              </a:graphicData>
            </a:graphic>
          </wp:anchor>
        </w:drawing>
      </w:r>
      <w:r>
        <w:br w:type="page"/>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0845" cy="23495"/>
                <wp:effectExtent l="0" t="0" r="0" b="0"/>
                <wp:docPr id="12" name="Shape12"/>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drawing>
          <wp:anchor behindDoc="0" distT="0" distB="0" distL="0" distR="0" simplePos="0" locked="0" layoutInCell="0" allowOverlap="1" relativeHeight="23">
            <wp:simplePos x="0" y="0"/>
            <wp:positionH relativeFrom="column">
              <wp:posOffset>-991235</wp:posOffset>
            </wp:positionH>
            <wp:positionV relativeFrom="paragraph">
              <wp:posOffset>635</wp:posOffset>
            </wp:positionV>
            <wp:extent cx="6910705" cy="320929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8"/>
                    <a:srcRect l="0" t="0" r="3037" b="1130"/>
                    <a:stretch>
                      <a:fillRect/>
                    </a:stretch>
                  </pic:blipFill>
                  <pic:spPr bwMode="auto">
                    <a:xfrm>
                      <a:off x="0" y="0"/>
                      <a:ext cx="6910705" cy="3209290"/>
                    </a:xfrm>
                    <a:prstGeom prst="rect">
                      <a:avLst/>
                    </a:prstGeom>
                  </pic:spPr>
                </pic:pic>
              </a:graphicData>
            </a:graphic>
          </wp:anchor>
        </w:drawing>
      </w:r>
      <w:r>
        <w:rPr>
          <w:caps w:val="false"/>
          <w:smallCaps w:val="false"/>
        </w:rPr>
        <w:b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0845" cy="23495"/>
                <wp:effectExtent l="0" t="0" r="0" b="0"/>
                <wp:docPr id="14" name="Shape13"/>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r>
        <w:br w:type="page"/>
      </w:r>
    </w:p>
    <w:p>
      <w:pPr>
        <w:pStyle w:val="Title"/>
        <w:rPr/>
      </w:pPr>
      <w:r>
        <w:rPr>
          <w:caps w:val="false"/>
          <w:smallCaps w:val="false"/>
        </w:rPr>
        <w:t xml:space="preserve">D.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LOnormal"/>
        <w:rPr/>
      </w:pPr>
      <w:r>
        <w:rPr/>
        <mc:AlternateContent>
          <mc:Choice Requires="wps">
            <w:drawing>
              <wp:inline distT="0" distB="0" distL="0" distR="0">
                <wp:extent cx="5490845" cy="23495"/>
                <wp:effectExtent l="0" t="0" r="0" b="0"/>
                <wp:docPr id="15" name="Shape14"/>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0845" cy="23495"/>
                <wp:effectExtent l="0" t="0" r="0" b="0"/>
                <wp:docPr id="16" name="Shape15"/>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90845" cy="23495"/>
                <wp:effectExtent l="0" t="0" r="0" b="0"/>
                <wp:docPr id="17" name="Shape16"/>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90845" cy="23495"/>
                <wp:effectExtent l="0" t="0" r="0" b="0"/>
                <wp:docPr id="18" name="Shape17"/>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0845" cy="23495"/>
                <wp:effectExtent l="0" t="0" r="0" b="0"/>
                <wp:docPr id="19" name="Shape18"/>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0845" cy="23495"/>
                <wp:effectExtent l="0" t="0" r="0" b="0"/>
                <wp:docPr id="20" name="Shape19"/>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19">
            <wp:simplePos x="0" y="0"/>
            <wp:positionH relativeFrom="column">
              <wp:posOffset>5486400</wp:posOffset>
            </wp:positionH>
            <wp:positionV relativeFrom="paragraph">
              <wp:posOffset>-55245</wp:posOffset>
            </wp:positionV>
            <wp:extent cx="990600" cy="1009650"/>
            <wp:effectExtent l="0" t="0" r="0" b="0"/>
            <wp:wrapSquare wrapText="bothSides"/>
            <wp:docPr id="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descr=""/>
                    <pic:cNvPicPr>
                      <a:picLocks noChangeAspect="1" noChangeArrowheads="1"/>
                    </pic:cNvPicPr>
                  </pic:nvPicPr>
                  <pic:blipFill>
                    <a:blip r:embed="rId9"/>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0845" cy="23495"/>
                <wp:effectExtent l="0" t="0" r="0" b="0"/>
                <wp:docPr id="22" name="Shape20"/>
                <a:graphic xmlns:a="http://schemas.openxmlformats.org/drawingml/2006/main">
                  <a:graphicData uri="http://schemas.microsoft.com/office/word/2010/wordprocessingShape">
                    <wps:wsp>
                      <wps:cNvSpPr/>
                      <wps:spPr>
                        <a:xfrm>
                          <a:off x="0" y="0"/>
                          <a:ext cx="549036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0" path="m0,0l-2147483645,0l-2147483645,-2147483646l0,-2147483646xe" fillcolor="#a0a0a0" stroked="f" style="position:absolute;margin-left:0pt;margin-top:-1.85pt;width:432.25pt;height:1.7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0"/>
      <w:footerReference w:type="default" r:id="rId11"/>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14</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9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TotalTime>
  <Application>LibreOffice/7.1.4.2$Linux_X86_64 LibreOffice_project/10$Build-2</Application>
  <AppVersion>15.0000</AppVersion>
  <Pages>14</Pages>
  <Words>1376</Words>
  <Characters>8001</Characters>
  <CharactersWithSpaces>9282</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2021-06-26T15:30:46Z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