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GarlicSMTP</w:t>
        <w:br/>
        <w:t>Riepilogo tecnico del lavoro svolto</w:t>
      </w:r>
    </w:p>
    <w:p>
      <w:pPr>
        <w:jc w:val="center"/>
      </w:pPr>
      <w:r>
        <w:rPr>
          <w:b/>
        </w:rPr>
        <w:t>Versione 2 - milestone al 6 settembre 2026</w:t>
      </w:r>
    </w:p>
    <w:p>
      <w:pPr>
        <w:jc w:val="center"/>
      </w:pPr>
      <w:r>
        <w:rPr>
          <w:i/>
        </w:rPr>
        <w:t>Milestone di progetto - versione 2</w:t>
      </w:r>
    </w:p>
    <w:p/>
    <w:p>
      <w:pPr>
        <w:pStyle w:val="Heading1"/>
      </w:pPr>
      <w:r>
        <w:t>1. Delta rispetto al 3 settembre 2026</w:t>
      </w:r>
    </w:p>
    <w:p>
      <w:r>
        <w:t>Il checkpoint precedente lasciava aperti discovery client-side E2EE, trust/pinning X25519, encrypt-before-queue e decrypt-before-verify. Alla milestone corrente questi blocchi sono stati implementati e validati, inclusi test node-to-node.</w:t>
      </w:r>
    </w:p>
    <w:p>
      <w:pPr>
        <w:pStyle w:val="Heading1"/>
      </w:pPr>
      <w:r>
        <w:t>2. E2EE completato</w:t>
      </w:r>
    </w:p>
    <w:p>
      <w:pPr>
        <w:pStyle w:val="ListBullet"/>
      </w:pPr>
      <w:r>
        <w:t>FileEncryptionKeyStore persistente per pin X25519 remoti.</w:t>
      </w:r>
    </w:p>
    <w:p>
      <w:pPr>
        <w:pStyle w:val="ListBullet"/>
      </w:pPr>
      <w:r>
        <w:t>Discovery GARLICSMTP-E2EE su endpoint onion e parsing rigoroso.</w:t>
      </w:r>
    </w:p>
    <w:p>
      <w:pPr>
        <w:pStyle w:val="ListBullet"/>
      </w:pPr>
      <w:r>
        <w:t>TOFU: first contact pin; il pin esistente non viene sovrascritto silenziosamente.</w:t>
      </w:r>
    </w:p>
    <w:p>
      <w:pPr>
        <w:pStyle w:val="ListBullet"/>
      </w:pPr>
      <w:r>
        <w:t>DeliveryStage cifra prima della queue; assenza di chiave dopo discovery causa rifiuto e nessun plaintext viene accodato.</w:t>
      </w:r>
    </w:p>
    <w:p>
      <w:pPr>
        <w:pStyle w:val="ListBullet"/>
      </w:pPr>
      <w:r>
        <w:t>QueueWorker distingue TemporaryDeliveryError e PermanentDeliveryError preservando retry e queue quando appropriato.</w:t>
      </w:r>
    </w:p>
    <w:p>
      <w:pPr>
        <w:pStyle w:val="ListBullet"/>
      </w:pPr>
      <w:r>
        <w:t>OnionTransport ricontrolla la capability remota prima della transazione SMTP e rifiuta cambi/malformazioni prima di MAIL/RCPT/DATA.</w:t>
      </w:r>
    </w:p>
    <w:p>
      <w:pPr>
        <w:pStyle w:val="ListBullet"/>
      </w:pPr>
      <w:r>
        <w:t>Inbound SMTP decifra prima di verificare Ed25519 e fallisce chiuso sui messaggi E2EE invalidi.</w:t>
      </w:r>
    </w:p>
    <w:p>
      <w:pPr>
        <w:pStyle w:val="Heading1"/>
      </w:pPr>
      <w:r>
        <w:t>3. Integrazione node-to-node</w:t>
      </w:r>
    </w:p>
    <w:p>
      <w:r>
        <w:t>Sono stati aggiunti test di integrazione locale fra due nodi applicativi con TCP reale e stack SMTP reale. Il solo collegamento Tor/SOCKS viene sostituito da LocalSocksClient che redirige verso localhost.</w:t>
      </w:r>
    </w:p>
    <w:p>
      <w:pPr>
        <w:pStyle w:val="ListBullet"/>
      </w:pPr>
      <w:r>
        <w:t>Scambio E2EE completo fra due ApplicationBuilder.</w:t>
      </w:r>
    </w:p>
    <w:p>
      <w:pPr>
        <w:pStyle w:val="ListBullet"/>
      </w:pPr>
      <w:r>
        <w:t>Verifica VERIFIED quando la chiave Ed25519 del peer è trusted.</w:t>
      </w:r>
    </w:p>
    <w:p>
      <w:pPr>
        <w:pStyle w:val="ListBullet"/>
      </w:pPr>
      <w:r>
        <w:t>Rifiuto di una chiave E2EE cambiata per lo stesso endpoint onion.</w:t>
      </w:r>
    </w:p>
    <w:p>
      <w:pPr>
        <w:pStyle w:val="Heading1"/>
      </w:pPr>
      <w:r>
        <w:t>4. Audit di consolidamento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/>
            <w:r>
              <w:rPr>
                <w:b/>
                <w:sz w:val="18"/>
              </w:rPr>
              <w:t>Voce</w:t>
            </w:r>
          </w:p>
        </w:tc>
        <w:tc>
          <w:tcPr>
            <w:tcW w:type="dxa" w:w="4968"/>
            <w:shd w:fill="D9EAF7"/>
            <w:vAlign w:val="center"/>
          </w:tcPr>
          <w:p>
            <w:r/>
            <w:r>
              <w:rPr>
                <w:b/>
                <w:sz w:val="18"/>
              </w:rPr>
              <w:t>Esito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CAPABILITY / IDLE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Chiuso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UIDVALIDITY persistente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Chiuso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HIGHESTMODSEQ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Non necessario V1; non pubblicizzato, STATUS lo rifiuta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Lifecycle/shutdown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Nessun gap funzionale concreto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Tor/E2EE hardening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Chiuso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SMTP -&gt; Store -&gt; IMAP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Ultimo gate ancora aperto</w:t>
            </w:r>
          </w:p>
        </w:tc>
      </w:tr>
    </w:tbl>
    <w:p>
      <w:pPr>
        <w:pStyle w:val="Heading1"/>
      </w:pPr>
      <w:r>
        <w:t>5. Correzione IMAP authentication wiring</w:t>
      </w:r>
    </w:p>
    <w:p>
      <w:r>
        <w:t>L'ispezione del server ha mostrato che IMAPServer usa RejectingAuthenticator quando non riceve un Authenticator. ApplicationBuilder non forniva alcun modo di iniettarlo. È stato aggiunto un test RED sul builder; il fallimento previsto era il parametro imap_authenticator sconosciuto. La produzione è stata modificata nel modo minimo per accettare e propagare la dipendenza. Il test mirato è ora GREEN.</w:t>
      </w:r>
    </w:p>
    <w:p>
      <w:r>
        <w:t>Il default rimane rejecting. Non sono ancora state definite credenziali persistenti di prodotto; tale decisione resta nel blocco first-run/configurazione.</w:t>
      </w:r>
    </w:p>
    <w:p>
      <w:pPr>
        <w:pStyle w:val="Heading1"/>
      </w:pPr>
      <w:r>
        <w:t>6. Punto esatto della roadmap</w:t>
      </w:r>
    </w:p>
    <w:p>
      <w:r>
        <w:t>Il prossimo lavoro non è un nuovo audit E2EE né un refactoring IMAP. È il test integrato reale SMTP -&gt; Store -&gt; IMAP. Deve usare il wiring di ApplicationBuilder, un MemoryAuthenticator iniettato per il test, un client SMTP reale e un client/socket IMAP reale.</w:t>
      </w:r>
    </w:p>
    <w:p>
      <w:pPr>
        <w:pStyle w:val="Heading1"/>
      </w:pPr>
      <w:r>
        <w:t>7. Scaletta rimanente</w:t>
      </w:r>
    </w:p>
    <w:p>
      <w:pPr>
        <w:pStyle w:val="ListBullet"/>
      </w:pPr>
      <w:r>
        <w:t>1. SMTP -&gt; Store -&gt; IMAP E2E; test correlati; suite completa; git diff --check.</w:t>
      </w:r>
    </w:p>
    <w:p>
      <w:pPr>
        <w:pStyle w:val="ListBullet"/>
      </w:pPr>
      <w:r>
        <w:t>2. BACKEND FREEZE.</w:t>
      </w:r>
    </w:p>
    <w:p>
      <w:pPr>
        <w:pStyle w:val="ListBullet"/>
      </w:pPr>
      <w:r>
        <w:t>3. Application/service layer: send, mailbox list, message list/read/search, seen/move/delete, riusando ciò che esiste.</w:t>
      </w:r>
    </w:p>
    <w:p>
      <w:pPr>
        <w:pStyle w:val="ListBullet"/>
      </w:pPr>
      <w:r>
        <w:t>4. GUI e integrazione GUI/backend.</w:t>
      </w:r>
    </w:p>
    <w:p>
      <w:pPr>
        <w:pStyle w:val="ListBullet"/>
      </w:pPr>
      <w:r>
        <w:t>5. First-run configuration, inclusa la scelta/persistenza delle credenziali IMAP.</w:t>
      </w:r>
    </w:p>
    <w:p>
      <w:pPr>
        <w:pStyle w:val="ListBullet"/>
      </w:pPr>
      <w:r>
        <w:t>6. Packaging Linux.</w:t>
      </w:r>
    </w:p>
    <w:p>
      <w:pPr>
        <w:pStyle w:val="ListBullet"/>
      </w:pPr>
      <w:r>
        <w:t>7. Installer/autoconfigurazione.</w:t>
      </w:r>
    </w:p>
    <w:p>
      <w:pPr>
        <w:pStyle w:val="ListBullet"/>
      </w:pPr>
      <w:r>
        <w:t>8. Test su Linux pulito: installazione, first-run, SMTP/IMAP/Store/Tor e due istanze.</w:t>
      </w:r>
    </w:p>
    <w:p>
      <w:pPr>
        <w:pStyle w:val="ListBullet"/>
      </w:pPr>
      <w:r>
        <w:t>9. V1 ready-to-use e documentazione di rilascio.</w:t>
      </w:r>
    </w:p>
    <w:p>
      <w:pPr>
        <w:pStyle w:val="Heading1"/>
      </w:pPr>
      <w:r>
        <w:t>8. Decisioni ancora rinviate</w:t>
      </w:r>
    </w:p>
    <w:p>
      <w:r>
        <w:t>Fuori dalla critical path V1 restano multipart/BODYSTRUCTURE avanzato, CONDSTORE/HIGHESTMODSEQ, estensioni IMAP avanzate, E2EE multi-recipient/gruppi, key rotation automatica, allegati, cifratura at-rest, correlation resistance e hardening successivo.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