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sz w:val="60"/>
        </w:rPr>
        <w:t>GarlicSMTP</w:t>
      </w:r>
    </w:p>
    <w:p>
      <w:pPr>
        <w:jc w:val="center"/>
      </w:pPr>
      <w:r>
        <w:rPr>
          <w:rFonts w:ascii="Aptos Display" w:hAnsi="Aptos Display"/>
          <w:sz w:val="42"/>
        </w:rPr>
        <w:t>Architettura e funzionamento</w:t>
      </w:r>
    </w:p>
    <w:p>
      <w:pPr>
        <w:jc w:val="center"/>
      </w:pPr>
      <w:r>
        <w:rPr>
          <w:i/>
          <w:sz w:val="22"/>
        </w:rPr>
        <w:t>Stato del sistema fino al checkpoint precedente allo Sprint 3</w:t>
      </w:r>
    </w:p>
    <w:p/>
    <w:p>
      <w:pPr>
        <w:jc w:val="center"/>
      </w:pPr>
      <w:r>
        <w:rPr>
          <w:sz w:val="19"/>
        </w:rPr>
        <w:t>Base documentale: snapshot reale del repository fornito il 3 settembre 2026</w:t>
      </w:r>
    </w:p>
    <w:p>
      <w:pPr>
        <w:jc w:val="center"/>
      </w:pPr>
      <w:r>
        <w:rPr>
          <w:sz w:val="18"/>
        </w:rPr>
        <w:t>Copyright (c) 2026 Giuliano Signorelli - GarlicSMTP Project</w:t>
      </w:r>
    </w:p>
    <w:p>
      <w:r>
        <w:br w:type="page"/>
      </w:r>
    </w:p>
    <w:p>
      <w:pPr>
        <w:pStyle w:val="Heading1"/>
      </w:pPr>
      <w:r>
        <w:t>1. Scopo, perimetro e criterio di lettura</w:t>
      </w:r>
    </w:p>
    <w:p>
      <w:pPr>
        <w:spacing w:after="80"/>
      </w:pPr>
      <w:r>
        <w:t>Questo documento descrive l'architettura effettivamente osservabile nello snapshot del repository GarlicSMTP fornito al termine dello Sprint corrente. Non è una specifica ideale del prodotto futuro: distingue esplicitamente ciò che è implementato e cablato, ciò che esiste come primitive ma non è ancora integrato end-to-end, e ciò che è stato deliberatamente rinviato.</w:t>
      </w:r>
    </w:p>
    <w:p>
      <w:pPr>
        <w:spacing w:after="80"/>
      </w:pPr>
      <w:r>
        <w:t>Il documento è pensato come riferimento tecnico per riprendere lo sviluppo nel ramo "Configurazione email onion - Sprint 3" senza dover ricostruire l'intero contesto conversazionale.</w:t>
      </w:r>
    </w:p>
    <w:tbl>
      <w:tblPr>
        <w:tblStyle w:val="TableGrid"/>
        <w:tblW w:type="auto" w:w="0"/>
        <w:jc w:val="center"/>
        <w:tblLook w:firstColumn="1" w:firstRow="1" w:lastColumn="0" w:lastRow="0" w:noHBand="0" w:noVBand="1" w:val="04A0"/>
      </w:tblPr>
      <w:tblGrid>
        <w:gridCol w:w="4997"/>
        <w:gridCol w:w="4997"/>
      </w:tblGrid>
      <w:tr>
        <w:tc>
          <w:tcPr>
            <w:tcW w:type="dxa" w:w="4997"/>
          </w:tcPr>
          <w:p>
            <w:r>
              <w:rPr>
                <w:b/>
              </w:rPr>
              <w:t>Marcatura</w:t>
            </w:r>
          </w:p>
        </w:tc>
        <w:tc>
          <w:tcPr>
            <w:tcW w:type="dxa" w:w="4997"/>
          </w:tcPr>
          <w:p>
            <w:r>
              <w:rPr>
                <w:b/>
              </w:rPr>
              <w:t>Significato</w:t>
            </w:r>
          </w:p>
        </w:tc>
      </w:tr>
      <w:tr>
        <w:tc>
          <w:tcPr>
            <w:tcW w:type="dxa" w:w="4997"/>
            <w:vAlign w:val="top"/>
          </w:tcPr>
          <w:p>
            <w:r>
              <w:t>IMPLEMENTATO</w:t>
            </w:r>
          </w:p>
        </w:tc>
        <w:tc>
          <w:tcPr>
            <w:tcW w:type="dxa" w:w="4997"/>
            <w:vAlign w:val="top"/>
          </w:tcPr>
          <w:p>
            <w:r>
              <w:t>Presente nel codice e collegato al flusso applicativo corrente.</w:t>
            </w:r>
          </w:p>
        </w:tc>
      </w:tr>
      <w:tr>
        <w:tc>
          <w:tcPr>
            <w:tcW w:type="dxa" w:w="4997"/>
            <w:vAlign w:val="top"/>
          </w:tcPr>
          <w:p>
            <w:r>
              <w:t>PRIMITIVA PRONTA</w:t>
            </w:r>
          </w:p>
        </w:tc>
        <w:tc>
          <w:tcPr>
            <w:tcW w:type="dxa" w:w="4997"/>
            <w:vAlign w:val="top"/>
          </w:tcPr>
          <w:p>
            <w:r>
              <w:t>Codice e test esistono, ma manca ancora il cablaggio nel flusso end-to-end.</w:t>
            </w:r>
          </w:p>
        </w:tc>
      </w:tr>
      <w:tr>
        <w:tc>
          <w:tcPr>
            <w:tcW w:type="dxa" w:w="4997"/>
            <w:vAlign w:val="top"/>
          </w:tcPr>
          <w:p>
            <w:r>
              <w:t>NEXT / RINVIATO</w:t>
            </w:r>
          </w:p>
        </w:tc>
        <w:tc>
          <w:tcPr>
            <w:tcW w:type="dxa" w:w="4997"/>
            <w:vAlign w:val="top"/>
          </w:tcPr>
          <w:p>
            <w:r>
              <w:t>Decisione o integrazione non ancora implementata nello snapshot.</w:t>
            </w:r>
          </w:p>
        </w:tc>
      </w:tr>
    </w:tbl>
    <w:p>
      <w:pPr>
        <w:spacing w:after="20"/>
      </w:pPr>
    </w:p>
    <w:p>
      <w:pPr>
        <w:pStyle w:val="Heading1"/>
      </w:pPr>
      <w:r>
        <w:t>2. Visione d'insieme</w:t>
      </w:r>
    </w:p>
    <w:p>
      <w:pPr>
        <w:spacing w:after="80"/>
      </w:pPr>
      <w:r>
        <w:t>GarlicSMTP è un'applicazione di messaggistica SMTP orientata alla privacy. Riceve e compone MailMessage, usa una pipeline comune per decidere consegna locale o accodamento, persiste mailbox e queue in SQLite, espone SMTP e IMAP su loopback per default, e usa Tor SOCKS5/Onion Services come percorso di trasporto predefinito per i destinatari onion.</w:t>
      </w:r>
    </w:p>
    <w:p>
      <w:pPr>
        <w:spacing w:before="60" w:after="100"/>
        <w:ind w:left="317" w:right="173"/>
      </w:pPr>
      <w:r>
        <w:rPr>
          <w:rFonts w:ascii="Liberation Mono" w:hAnsi="Liberation Mono"/>
          <w:sz w:val="16"/>
        </w:rPr>
        <w:t xml:space="preserve">                         +----------------------+</w:t>
        <w:br/>
        <w:t xml:space="preserve">                         |      PySide6 GUI      |</w:t>
        <w:br/>
        <w:t xml:space="preserve">                         +----------+-----------+</w:t>
        <w:br/>
        <w:t xml:space="preserve">                                    |</w:t>
        <w:br/>
        <w:t xml:space="preserve">                         MailComposerService</w:t>
        <w:br/>
        <w:t xml:space="preserve">                                    |</w:t>
        <w:br/>
        <w:t xml:space="preserve">                           sign (Ed25519)</w:t>
        <w:br/>
        <w:t xml:space="preserve">                                    |</w:t>
        <w:br/>
        <w:t xml:space="preserve">                                    v</w:t>
        <w:br/>
        <w:t>+-------------+        +-------------------------+        +------------------+</w:t>
        <w:br/>
        <w:t>| SMTP inbound|-------&gt;|     shared Pipeline     |-------&gt;| DeliveryStage    |</w:t>
        <w:br/>
        <w:t>+------+------+ verify +------------+------------+        +----+--------+----+</w:t>
        <w:br/>
        <w:t xml:space="preserve">       |                              |                       |        |</w:t>
        <w:br/>
        <w:t xml:space="preserve">       | EHLO advertises              |                       |        |</w:t>
        <w:br/>
        <w:t xml:space="preserve">       | GARLICSMTP-E2EE              |                   local     remote</w:t>
        <w:br/>
        <w:t xml:space="preserve">       |                              |                       |        |</w:t>
        <w:br/>
        <w:t xml:space="preserve">       v                              v                       v        v</w:t>
        <w:br/>
        <w:t xml:space="preserve"> remote SMTP peer               LoggerStage              Store     Queue</w:t>
        <w:br/>
        <w:t xml:space="preserve">                                                                  |</w:t>
        <w:br/>
        <w:t xml:space="preserve">                                                             QueueWorker</w:t>
        <w:br/>
        <w:t xml:space="preserve">                                                                  |</w:t>
        <w:br/>
        <w:t xml:space="preserve">                                                          TransportManager</w:t>
        <w:br/>
        <w:t xml:space="preserve">                                                                  |</w:t>
        <w:br/>
        <w:t xml:space="preserve">                                                            OnionTransport</w:t>
        <w:br/>
        <w:t xml:space="preserve">                                                                  |</w:t>
        <w:br/>
        <w:t xml:space="preserve">                                                           Tor SOCKS5 + SMTP</w:t>
        <w:br/>
        <w:br/>
        <w:t>IMAP Server &lt;---------------------------------------------- MessageStore</w:t>
        <w:br/>
        <w:t>Tor Control -&gt; OnionServiceManager -&gt; local .onion hostname -&gt; local_domains</w:t>
        <w:br/>
      </w:r>
    </w:p>
    <w:p>
      <w:pPr>
        <w:pStyle w:val="Heading1"/>
      </w:pPr>
      <w:r>
        <w:t>3. Strati e package principali</w:t>
      </w:r>
    </w:p>
    <w:tbl>
      <w:tblPr>
        <w:tblStyle w:val="TableGrid"/>
        <w:tblW w:type="auto" w:w="0"/>
        <w:jc w:val="center"/>
        <w:tblLook w:firstColumn="1" w:firstRow="1" w:lastColumn="0" w:lastRow="0" w:noHBand="0" w:noVBand="1" w:val="04A0"/>
      </w:tblPr>
      <w:tblGrid>
        <w:gridCol w:w="4997"/>
        <w:gridCol w:w="4997"/>
      </w:tblGrid>
      <w:tr>
        <w:tc>
          <w:tcPr>
            <w:tcW w:type="dxa" w:w="4997"/>
          </w:tcPr>
          <w:p>
            <w:r>
              <w:rPr>
                <w:b/>
              </w:rPr>
              <w:t>Area</w:t>
            </w:r>
          </w:p>
        </w:tc>
        <w:tc>
          <w:tcPr>
            <w:tcW w:type="dxa" w:w="4997"/>
          </w:tcPr>
          <w:p>
            <w:r>
              <w:rPr>
                <w:b/>
              </w:rPr>
              <w:t>Responsabilità osservata</w:t>
            </w:r>
          </w:p>
        </w:tc>
      </w:tr>
      <w:tr>
        <w:tc>
          <w:tcPr>
            <w:tcW w:type="dxa" w:w="4997"/>
            <w:vAlign w:val="top"/>
          </w:tcPr>
          <w:p>
            <w:r>
              <w:t>application</w:t>
            </w:r>
          </w:p>
        </w:tc>
        <w:tc>
          <w:tcPr>
            <w:tcW w:type="dxa" w:w="4997"/>
            <w:vAlign w:val="top"/>
          </w:tcPr>
          <w:p>
            <w:r>
              <w:t>Composition root, context, view model, composer, eventi applicativi e monitor Tor.</w:t>
            </w:r>
          </w:p>
        </w:tc>
      </w:tr>
      <w:tr>
        <w:tc>
          <w:tcPr>
            <w:tcW w:type="dxa" w:w="4997"/>
            <w:vAlign w:val="top"/>
          </w:tcPr>
          <w:p>
            <w:r>
              <w:t>core</w:t>
            </w:r>
          </w:p>
        </w:tc>
        <w:tc>
          <w:tcPr>
            <w:tcW w:type="dxa" w:w="4997"/>
            <w:vAlign w:val="top"/>
          </w:tcPr>
          <w:p>
            <w:r>
              <w:t>Runtime, Service/Tickable, pipeline e infrastruttura eventi di base.</w:t>
            </w:r>
          </w:p>
        </w:tc>
      </w:tr>
      <w:tr>
        <w:tc>
          <w:tcPr>
            <w:tcW w:type="dxa" w:w="4997"/>
            <w:vAlign w:val="top"/>
          </w:tcPr>
          <w:p>
            <w:r>
              <w:t>models</w:t>
            </w:r>
          </w:p>
        </w:tc>
        <w:tc>
          <w:tcPr>
            <w:tcW w:type="dxa" w:w="4997"/>
            <w:vAlign w:val="top"/>
          </w:tcPr>
          <w:p>
            <w:r>
              <w:t>Envelope, MailHeaders, MailMessage, SMTPCommand/SMTPReply, OnionAddress.</w:t>
            </w:r>
          </w:p>
        </w:tc>
      </w:tr>
      <w:tr>
        <w:tc>
          <w:tcPr>
            <w:tcW w:type="dxa" w:w="4997"/>
            <w:vAlign w:val="top"/>
          </w:tcPr>
          <w:p>
            <w:r>
              <w:t>smtp</w:t>
            </w:r>
          </w:p>
        </w:tc>
        <w:tc>
          <w:tcPr>
            <w:tcW w:type="dxa" w:w="4997"/>
            <w:vAlign w:val="top"/>
          </w:tcPr>
          <w:p>
            <w:r>
              <w:t>Server SMTP inbound, FSM, parser, handler, DATA receiver e RFC5322 parsing.</w:t>
            </w:r>
          </w:p>
        </w:tc>
      </w:tr>
      <w:tr>
        <w:tc>
          <w:tcPr>
            <w:tcW w:type="dxa" w:w="4997"/>
            <w:vAlign w:val="top"/>
          </w:tcPr>
          <w:p>
            <w:r>
              <w:t>transport</w:t>
            </w:r>
          </w:p>
        </w:tc>
        <w:tc>
          <w:tcPr>
            <w:tcW w:type="dxa" w:w="4997"/>
            <w:vAlign w:val="top"/>
          </w:tcPr>
          <w:p>
            <w:r>
              <w:t>Selezione trasporto, client SMTP outbound, OnionTransport, DNS/local/dummy transport.</w:t>
            </w:r>
          </w:p>
        </w:tc>
      </w:tr>
      <w:tr>
        <w:tc>
          <w:tcPr>
            <w:tcW w:type="dxa" w:w="4997"/>
            <w:vAlign w:val="top"/>
          </w:tcPr>
          <w:p>
            <w:r>
              <w:t>network</w:t>
            </w:r>
          </w:p>
        </w:tc>
        <w:tc>
          <w:tcPr>
            <w:tcW w:type="dxa" w:w="4997"/>
            <w:vAlign w:val="top"/>
          </w:tcPr>
          <w:p>
            <w:r>
              <w:t>TCP/Text connection e SOCKS5.</w:t>
            </w:r>
          </w:p>
        </w:tc>
      </w:tr>
      <w:tr>
        <w:tc>
          <w:tcPr>
            <w:tcW w:type="dxa" w:w="4997"/>
            <w:vAlign w:val="top"/>
          </w:tcPr>
          <w:p>
            <w:r>
              <w:t>queue</w:t>
            </w:r>
          </w:p>
        </w:tc>
        <w:tc>
          <w:tcPr>
            <w:tcW w:type="dxa" w:w="4997"/>
            <w:vAlign w:val="top"/>
          </w:tcPr>
          <w:p>
            <w:r>
              <w:t>QueueItem, manager, retry, backend memory/SQLite e QueueWorker.</w:t>
            </w:r>
          </w:p>
        </w:tc>
      </w:tr>
      <w:tr>
        <w:tc>
          <w:tcPr>
            <w:tcW w:type="dxa" w:w="4997"/>
            <w:vAlign w:val="top"/>
          </w:tcPr>
          <w:p>
            <w:r>
              <w:t>storage</w:t>
            </w:r>
          </w:p>
        </w:tc>
        <w:tc>
          <w:tcPr>
            <w:tcW w:type="dxa" w:w="4997"/>
            <w:vAlign w:val="top"/>
          </w:tcPr>
          <w:p>
            <w:r>
              <w:t>MessageStore, MessageEntry, backend memory/SQLite, mailbox view e serializer.</w:t>
            </w:r>
          </w:p>
        </w:tc>
      </w:tr>
      <w:tr>
        <w:tc>
          <w:tcPr>
            <w:tcW w:type="dxa" w:w="4997"/>
            <w:vAlign w:val="top"/>
          </w:tcPr>
          <w:p>
            <w:r>
              <w:t>security</w:t>
            </w:r>
          </w:p>
        </w:tc>
        <w:tc>
          <w:tcPr>
            <w:tcW w:type="dxa" w:w="4997"/>
            <w:vAlign w:val="top"/>
          </w:tcPr>
          <w:p>
            <w:r>
              <w:t>Firma/verifica Ed25519, trust store, identità, E2EE X25519/AEAD e capability.</w:t>
            </w:r>
          </w:p>
        </w:tc>
      </w:tr>
      <w:tr>
        <w:tc>
          <w:tcPr>
            <w:tcW w:type="dxa" w:w="4997"/>
            <w:vAlign w:val="top"/>
          </w:tcPr>
          <w:p>
            <w:r>
              <w:t>tor</w:t>
            </w:r>
          </w:p>
        </w:tc>
        <w:tc>
          <w:tcPr>
            <w:tcW w:type="dxa" w:w="4997"/>
            <w:vAlign w:val="top"/>
          </w:tcPr>
          <w:p>
            <w:r>
              <w:t>Tor control protocol, SAFECOOKIE e gestione Onion Service.</w:t>
            </w:r>
          </w:p>
        </w:tc>
      </w:tr>
      <w:tr>
        <w:tc>
          <w:tcPr>
            <w:tcW w:type="dxa" w:w="4997"/>
            <w:vAlign w:val="top"/>
          </w:tcPr>
          <w:p>
            <w:r>
              <w:t>imap</w:t>
            </w:r>
          </w:p>
        </w:tc>
        <w:tc>
          <w:tcPr>
            <w:tcW w:type="dxa" w:w="4997"/>
            <w:vAlign w:val="top"/>
          </w:tcPr>
          <w:p>
            <w:r>
              <w:t>Server/protocollo IMAP, mailbox operations, IDLE, FETCH/SEARCH/APPEND.</w:t>
            </w:r>
          </w:p>
        </w:tc>
      </w:tr>
      <w:tr>
        <w:tc>
          <w:tcPr>
            <w:tcW w:type="dxa" w:w="4997"/>
            <w:vAlign w:val="top"/>
          </w:tcPr>
          <w:p>
            <w:r>
              <w:t>gui</w:t>
            </w:r>
          </w:p>
        </w:tc>
        <w:tc>
          <w:tcPr>
            <w:tcW w:type="dxa" w:w="4997"/>
            <w:vAlign w:val="top"/>
          </w:tcPr>
          <w:p>
            <w:r>
              <w:t>Applicazione PySide6 e sezioni della dashboard.</w:t>
            </w:r>
          </w:p>
        </w:tc>
      </w:tr>
      <w:tr>
        <w:tc>
          <w:tcPr>
            <w:tcW w:type="dxa" w:w="4997"/>
            <w:vAlign w:val="top"/>
          </w:tcPr>
          <w:p>
            <w:r>
              <w:t>configuration</w:t>
            </w:r>
          </w:p>
        </w:tc>
        <w:tc>
          <w:tcPr>
            <w:tcW w:type="dxa" w:w="4997"/>
            <w:vAlign w:val="top"/>
          </w:tcPr>
          <w:p>
            <w:r>
              <w:t>Settings, loader e percorsi applicativi.</w:t>
            </w:r>
          </w:p>
        </w:tc>
      </w:tr>
    </w:tbl>
    <w:p>
      <w:pPr>
        <w:spacing w:after="20"/>
      </w:pPr>
    </w:p>
    <w:p>
      <w:pPr>
        <w:pStyle w:val="Heading1"/>
      </w:pPr>
      <w:r>
        <w:t>4. Modello dati centrale</w:t>
      </w:r>
    </w:p>
    <w:p>
      <w:pPr>
        <w:pStyle w:val="Heading2"/>
      </w:pPr>
      <w:r>
        <w:t>4.1 MailMessage</w:t>
      </w:r>
    </w:p>
    <w:p>
      <w:pPr>
        <w:spacing w:after="80"/>
      </w:pPr>
      <w:r>
        <w:t>Il messaggio applicativo è volutamente piccolo:</w:t>
      </w:r>
    </w:p>
    <w:p>
      <w:pPr>
        <w:spacing w:before="60" w:after="100"/>
        <w:ind w:left="317" w:right="173"/>
      </w:pPr>
      <w:r>
        <w:rPr>
          <w:rFonts w:ascii="Liberation Mono" w:hAnsi="Liberation Mono"/>
          <w:sz w:val="16"/>
        </w:rPr>
        <w:t>MailMessage</w:t>
        <w:br/>
        <w:t xml:space="preserve">  envelope: Envelope</w:t>
        <w:br/>
        <w:t xml:space="preserve">      sender: str</w:t>
        <w:br/>
        <w:t xml:space="preserve">      recipients: list[str]</w:t>
        <w:br/>
        <w:t xml:space="preserve">  headers: MailHeaders</w:t>
        <w:br/>
        <w:t xml:space="preserve">      fields: dict[str, str]</w:t>
        <w:br/>
        <w:t xml:space="preserve">  body: str</w:t>
      </w:r>
    </w:p>
    <w:p>
      <w:pPr>
        <w:spacing w:after="80"/>
      </w:pPr>
      <w:r>
        <w:t>Envelope e contenuto RFC5322 restano concettualmente distinti. Questa distinzione è importante sia per il routing SMTP sia per firma ed E2EE: l'envelope partecipa alle proprietà crittografiche anche quando non viene inserito nei normali header del messaggio.</w:t>
      </w:r>
    </w:p>
    <w:p>
      <w:pPr>
        <w:pStyle w:val="Heading2"/>
      </w:pPr>
      <w:r>
        <w:t>4.2 Header e minimizzazione metadata</w:t>
      </w:r>
    </w:p>
    <w:p>
      <w:pPr>
        <w:spacing w:after="80"/>
      </w:pPr>
      <w:r>
        <w:t>MailComposerService crea solo Subject quando valorizzato. Non genera automaticamente From, To, Date, Message-ID, Received, X-Mailer, User-Agent o Return-Path. Il parser inbound conserva invece gli header realmente ricevuti. La scelta riduce metadata superflui e fingerprinting applicativo.</w:t>
      </w:r>
    </w:p>
    <w:p>
      <w:pPr>
        <w:pStyle w:val="Heading2"/>
      </w:pPr>
      <w:r>
        <w:t>4.3 MessageEntry e stato di verifica</w:t>
      </w:r>
    </w:p>
    <w:p>
      <w:pPr>
        <w:spacing w:after="80"/>
      </w:pPr>
      <w:r>
        <w:t>Lo storage avvolge il MailMessage in MessageEntry e mantiene VerificationStatus come metadata locale. Lo stato crittografico non viene inserito nel messaggio e quindi non modifica il materiale firmato.</w:t>
      </w:r>
    </w:p>
    <w:tbl>
      <w:tblPr>
        <w:tblStyle w:val="TableGrid"/>
        <w:tblW w:type="auto" w:w="0"/>
        <w:jc w:val="center"/>
        <w:tblLook w:firstColumn="1" w:firstRow="1" w:lastColumn="0" w:lastRow="0" w:noHBand="0" w:noVBand="1" w:val="04A0"/>
      </w:tblPr>
      <w:tblGrid>
        <w:gridCol w:w="4997"/>
        <w:gridCol w:w="4997"/>
      </w:tblGrid>
      <w:tr>
        <w:tc>
          <w:tcPr>
            <w:tcW w:type="dxa" w:w="4997"/>
          </w:tcPr>
          <w:p>
            <w:r>
              <w:rPr>
                <w:b/>
              </w:rPr>
              <w:t>VerificationStatus</w:t>
            </w:r>
          </w:p>
        </w:tc>
        <w:tc>
          <w:tcPr>
            <w:tcW w:type="dxa" w:w="4997"/>
          </w:tcPr>
          <w:p>
            <w:r>
              <w:rPr>
                <w:b/>
              </w:rPr>
              <w:t>Semantica</w:t>
            </w:r>
          </w:p>
        </w:tc>
      </w:tr>
      <w:tr>
        <w:tc>
          <w:tcPr>
            <w:tcW w:type="dxa" w:w="4997"/>
            <w:vAlign w:val="top"/>
          </w:tcPr>
          <w:p>
            <w:r>
              <w:t>UNSIGNED</w:t>
            </w:r>
          </w:p>
        </w:tc>
        <w:tc>
          <w:tcPr>
            <w:tcW w:type="dxa" w:w="4997"/>
            <w:vAlign w:val="top"/>
          </w:tcPr>
          <w:p>
            <w:r>
              <w:t>Nessuna firma GarlicSMTP.</w:t>
            </w:r>
          </w:p>
        </w:tc>
      </w:tr>
      <w:tr>
        <w:tc>
          <w:tcPr>
            <w:tcW w:type="dxa" w:w="4997"/>
            <w:vAlign w:val="top"/>
          </w:tcPr>
          <w:p>
            <w:r>
              <w:t>UNKNOWN_KEY</w:t>
            </w:r>
          </w:p>
        </w:tc>
        <w:tc>
          <w:tcPr>
            <w:tcW w:type="dxa" w:w="4997"/>
            <w:vAlign w:val="top"/>
          </w:tcPr>
          <w:p>
            <w:r>
              <w:t>Firma Ed25519 valida, ma chiave del mittente non esplicitamente trusted.</w:t>
            </w:r>
          </w:p>
        </w:tc>
      </w:tr>
      <w:tr>
        <w:tc>
          <w:tcPr>
            <w:tcW w:type="dxa" w:w="4997"/>
            <w:vAlign w:val="top"/>
          </w:tcPr>
          <w:p>
            <w:r>
              <w:t>VERIFIED</w:t>
            </w:r>
          </w:p>
        </w:tc>
        <w:tc>
          <w:tcPr>
            <w:tcW w:type="dxa" w:w="4997"/>
            <w:vAlign w:val="top"/>
          </w:tcPr>
          <w:p>
            <w:r>
              <w:t>Firma valida e coppia mittente/chiave presente nel trust store.</w:t>
            </w:r>
          </w:p>
        </w:tc>
      </w:tr>
      <w:tr>
        <w:tc>
          <w:tcPr>
            <w:tcW w:type="dxa" w:w="4997"/>
            <w:vAlign w:val="top"/>
          </w:tcPr>
          <w:p>
            <w:r>
              <w:t>INVALID</w:t>
            </w:r>
          </w:p>
        </w:tc>
        <w:tc>
          <w:tcPr>
            <w:tcW w:type="dxa" w:w="4997"/>
            <w:vAlign w:val="top"/>
          </w:tcPr>
          <w:p>
            <w:r>
              <w:t>Firma/header/chiave/formato non valido o verifica crittografica fallita.</w:t>
            </w:r>
          </w:p>
        </w:tc>
      </w:tr>
    </w:tbl>
    <w:p>
      <w:pPr>
        <w:spacing w:after="20"/>
      </w:pPr>
    </w:p>
    <w:p>
      <w:pPr>
        <w:pStyle w:val="Heading1"/>
      </w:pPr>
      <w:r>
        <w:t>5. Composition root: ApplicationBuilder</w:t>
      </w:r>
    </w:p>
    <w:p>
      <w:pPr>
        <w:spacing w:after="80"/>
      </w:pPr>
      <w:r>
        <w:t>ApplicationBuilder è il punto principale di composizione. Crea directory e settings, poi costruisce store, queue, trasporti, pipeline, identità crittografiche, trust store, server, Onion Service, monitor Tor e Runtime. Le dipendenze vengono passate esplicitamente ai componenti.</w:t>
      </w:r>
    </w:p>
    <w:p>
      <w:pPr>
        <w:spacing w:before="60" w:after="100"/>
        <w:ind w:left="317" w:right="173"/>
      </w:pPr>
      <w:r>
        <w:rPr>
          <w:rFonts w:ascii="Liberation Mono" w:hAnsi="Liberation Mono"/>
          <w:sz w:val="16"/>
        </w:rPr>
        <w:t>ApplicationBuilder.build()</w:t>
        <w:br/>
        <w:t xml:space="preserve">  paths.create_directories()</w:t>
        <w:br/>
        <w:t xml:space="preserve">  load settings</w:t>
        <w:br/>
        <w:t xml:space="preserve">  local_domains = {settings.local_domain, settings.hostname}</w:t>
        <w:br/>
        <w:t xml:space="preserve">  build logger / event hub / RAM event log</w:t>
        <w:br/>
        <w:t xml:space="preserve">  build MessageStore(SQLite)</w:t>
        <w:br/>
        <w:t xml:space="preserve">  build QueueManager(SQLite)</w:t>
        <w:br/>
        <w:t xml:space="preserve">  build TransportManager(OnionTransport default)</w:t>
        <w:br/>
        <w:t xml:space="preserve">  build Pipeline(LoggerStage -&gt; DeliveryStage)</w:t>
        <w:br/>
        <w:t xml:space="preserve">  load/create signing.key</w:t>
        <w:br/>
        <w:t xml:space="preserve">  load/create encryption.key</w:t>
        <w:br/>
        <w:t xml:space="preserve">  build GARLICSMTP-E2EE capability</w:t>
        <w:br/>
        <w:t xml:space="preserve">  build FileTrustStore + Ed25519 verifier</w:t>
        <w:br/>
        <w:t xml:space="preserve">  build SMTPServer</w:t>
        <w:br/>
        <w:t xml:space="preserve">  build IMAPServer</w:t>
        <w:br/>
        <w:t xml:space="preserve">  build QueueWorker</w:t>
        <w:br/>
        <w:t xml:space="preserve">  if Tor enabled:</w:t>
        <w:br/>
        <w:t xml:space="preserve">      build OnionServiceManager</w:t>
        <w:br/>
        <w:t xml:space="preserve">  build TorStatusProvider / TorMonitorService</w:t>
        <w:br/>
        <w:t xml:space="preserve">  build Runtime</w:t>
        <w:br/>
        <w:t xml:space="preserve">  return ApplicationContext</w:t>
        <w:br/>
      </w:r>
    </w:p>
    <w:p>
      <w:pPr>
        <w:spacing w:after="80"/>
      </w:pPr>
      <w:r>
        <w:t>ApplicationContext espone i principali servizi operativi, incluso signer e verifier. Nello snapshot, EncryptionIdentity non viene conservata nel context: viene usata dal builder per derivare la capability E2EE server-side. Questo è coerente con lo stato attuale, perché la decifratura inbound non è ancora cablata.</w:t>
      </w:r>
    </w:p>
    <w:p>
      <w:pPr>
        <w:pStyle w:val="Heading1"/>
      </w:pPr>
      <w:r>
        <w:t>6. Configurazione e filesystem</w:t>
      </w:r>
    </w:p>
    <w:p>
      <w:pPr>
        <w:spacing w:after="80"/>
      </w:pPr>
      <w:r>
        <w:t>I default applicativi ascoltano solo su loopback: SMTP 127.0.0.1:2525, IMAP 127.0.0.1:1143, SOCKS Tor 127.0.0.1:9050 e control 127.0.0.1:9051. Il virtual port dell'Onion Service SMTP è 25.</w:t>
      </w:r>
    </w:p>
    <w:tbl>
      <w:tblPr>
        <w:tblStyle w:val="TableGrid"/>
        <w:tblW w:type="auto" w:w="0"/>
        <w:jc w:val="center"/>
        <w:tblLook w:firstColumn="1" w:firstRow="1" w:lastColumn="0" w:lastRow="0" w:noHBand="0" w:noVBand="1" w:val="04A0"/>
      </w:tblPr>
      <w:tblGrid>
        <w:gridCol w:w="4997"/>
        <w:gridCol w:w="4997"/>
      </w:tblGrid>
      <w:tr>
        <w:tc>
          <w:tcPr>
            <w:tcW w:type="dxa" w:w="4997"/>
          </w:tcPr>
          <w:p>
            <w:r>
              <w:rPr>
                <w:b/>
              </w:rPr>
              <w:t>Percorso logico</w:t>
            </w:r>
          </w:p>
        </w:tc>
        <w:tc>
          <w:tcPr>
            <w:tcW w:type="dxa" w:w="4997"/>
          </w:tcPr>
          <w:p>
            <w:r>
              <w:rPr>
                <w:b/>
              </w:rPr>
              <w:t>Uso</w:t>
            </w:r>
          </w:p>
        </w:tc>
      </w:tr>
      <w:tr>
        <w:tc>
          <w:tcPr>
            <w:tcW w:type="dxa" w:w="4997"/>
            <w:vAlign w:val="top"/>
          </w:tcPr>
          <w:p>
            <w:r>
              <w:t>root/config</w:t>
            </w:r>
          </w:p>
        </w:tc>
        <w:tc>
          <w:tcPr>
            <w:tcW w:type="dxa" w:w="4997"/>
            <w:vAlign w:val="top"/>
          </w:tcPr>
          <w:p>
            <w:r>
              <w:t>Configurazione utente.</w:t>
            </w:r>
          </w:p>
        </w:tc>
      </w:tr>
      <w:tr>
        <w:tc>
          <w:tcPr>
            <w:tcW w:type="dxa" w:w="4997"/>
            <w:vAlign w:val="top"/>
          </w:tcPr>
          <w:p>
            <w:r>
              <w:t>root/data/mailboxes.db</w:t>
            </w:r>
          </w:p>
        </w:tc>
        <w:tc>
          <w:tcPr>
            <w:tcW w:type="dxa" w:w="4997"/>
            <w:vAlign w:val="top"/>
          </w:tcPr>
          <w:p>
            <w:r>
              <w:t>Mailbox SQLite.</w:t>
            </w:r>
          </w:p>
        </w:tc>
      </w:tr>
      <w:tr>
        <w:tc>
          <w:tcPr>
            <w:tcW w:type="dxa" w:w="4997"/>
            <w:vAlign w:val="top"/>
          </w:tcPr>
          <w:p>
            <w:r>
              <w:t>root/state/queue.db</w:t>
            </w:r>
          </w:p>
        </w:tc>
        <w:tc>
          <w:tcPr>
            <w:tcW w:type="dxa" w:w="4997"/>
            <w:vAlign w:val="top"/>
          </w:tcPr>
          <w:p>
            <w:r>
              <w:t>Queue SQLite.</w:t>
            </w:r>
          </w:p>
        </w:tc>
      </w:tr>
      <w:tr>
        <w:tc>
          <w:tcPr>
            <w:tcW w:type="dxa" w:w="4997"/>
            <w:vAlign w:val="top"/>
          </w:tcPr>
          <w:p>
            <w:r>
              <w:t>root/state/onion-service.key</w:t>
            </w:r>
          </w:p>
        </w:tc>
        <w:tc>
          <w:tcPr>
            <w:tcW w:type="dxa" w:w="4997"/>
            <w:vAlign w:val="top"/>
          </w:tcPr>
          <w:p>
            <w:r>
              <w:t>Identità Onion Service persistente.</w:t>
            </w:r>
          </w:p>
        </w:tc>
      </w:tr>
      <w:tr>
        <w:tc>
          <w:tcPr>
            <w:tcW w:type="dxa" w:w="4997"/>
            <w:vAlign w:val="top"/>
          </w:tcPr>
          <w:p>
            <w:r>
              <w:t>root/signing.key</w:t>
            </w:r>
          </w:p>
        </w:tc>
        <w:tc>
          <w:tcPr>
            <w:tcW w:type="dxa" w:w="4997"/>
            <w:vAlign w:val="top"/>
          </w:tcPr>
          <w:p>
            <w:r>
              <w:t>Chiave privata Ed25519 per firma.</w:t>
            </w:r>
          </w:p>
        </w:tc>
      </w:tr>
      <w:tr>
        <w:tc>
          <w:tcPr>
            <w:tcW w:type="dxa" w:w="4997"/>
            <w:vAlign w:val="top"/>
          </w:tcPr>
          <w:p>
            <w:r>
              <w:t>root/encryption.key</w:t>
            </w:r>
          </w:p>
        </w:tc>
        <w:tc>
          <w:tcPr>
            <w:tcW w:type="dxa" w:w="4997"/>
            <w:vAlign w:val="top"/>
          </w:tcPr>
          <w:p>
            <w:r>
              <w:t>Chiave privata X25519 per E2EE.</w:t>
            </w:r>
          </w:p>
        </w:tc>
      </w:tr>
      <w:tr>
        <w:tc>
          <w:tcPr>
            <w:tcW w:type="dxa" w:w="4997"/>
            <w:vAlign w:val="top"/>
          </w:tcPr>
          <w:p>
            <w:r>
              <w:t>root/trusted_keys.json</w:t>
            </w:r>
          </w:p>
        </w:tc>
        <w:tc>
          <w:tcPr>
            <w:tcW w:type="dxa" w:w="4997"/>
            <w:vAlign w:val="top"/>
          </w:tcPr>
          <w:p>
            <w:r>
              <w:t>Trust store Ed25519 persistente.</w:t>
            </w:r>
          </w:p>
        </w:tc>
      </w:tr>
      <w:tr>
        <w:tc>
          <w:tcPr>
            <w:tcW w:type="dxa" w:w="4997"/>
            <w:vAlign w:val="top"/>
          </w:tcPr>
          <w:p>
            <w:r>
              <w:t>root/state/logs</w:t>
            </w:r>
          </w:p>
        </w:tc>
        <w:tc>
          <w:tcPr>
            <w:tcW w:type="dxa" w:w="4997"/>
            <w:vAlign w:val="top"/>
          </w:tcPr>
          <w:p>
            <w:r>
              <w:t>Directory log predisposta.</w:t>
            </w:r>
          </w:p>
        </w:tc>
      </w:tr>
      <w:tr>
        <w:tc>
          <w:tcPr>
            <w:tcW w:type="dxa" w:w="4997"/>
            <w:vAlign w:val="top"/>
          </w:tcPr>
          <w:p>
            <w:r>
              <w:t>root/cache</w:t>
            </w:r>
          </w:p>
        </w:tc>
        <w:tc>
          <w:tcPr>
            <w:tcW w:type="dxa" w:w="4997"/>
            <w:vAlign w:val="top"/>
          </w:tcPr>
          <w:p>
            <w:r>
              <w:t>Cache applicativa predisposta.</w:t>
            </w:r>
          </w:p>
        </w:tc>
      </w:tr>
    </w:tbl>
    <w:p>
      <w:pPr>
        <w:spacing w:after="20"/>
      </w:pPr>
    </w:p>
    <w:p>
      <w:pPr>
        <w:spacing w:after="80"/>
      </w:pPr>
      <w:r>
        <w:t>In sviluppo, il file di configurazione può provenire da config/default.toml nel project root, mentre i dati persistenti restano sotto la root utente di GarlicSMTP.</w:t>
      </w:r>
    </w:p>
    <w:p>
      <w:pPr>
        <w:pStyle w:val="Heading1"/>
      </w:pPr>
      <w:r>
        <w:t>7. Runtime e concorrenza</w:t>
      </w:r>
    </w:p>
    <w:p>
      <w:pPr>
        <w:spacing w:after="80"/>
      </w:pPr>
      <w:r>
        <w:t>Runtime implementa il lifecycle globale. I Service vengono avviati in ordine e arrestati in ordine inverso. Durante run(), i task vengono tickati sequenzialmente nello stesso thread, con una pausa di un secondo fra i cicli.</w:t>
      </w:r>
    </w:p>
    <w:p>
      <w:pPr>
        <w:spacing w:before="60" w:after="100"/>
        <w:ind w:left="317" w:right="173"/>
      </w:pPr>
      <w:r>
        <w:rPr>
          <w:rFonts w:ascii="Liberation Mono" w:hAnsi="Liberation Mono"/>
          <w:sz w:val="16"/>
        </w:rPr>
        <w:t>Runtime tasks, in ordine:</w:t>
        <w:br/>
        <w:t xml:space="preserve">  SMTPServer.tick()</w:t>
        <w:br/>
        <w:t xml:space="preserve">  IMAPServer.tick()</w:t>
        <w:br/>
        <w:t xml:space="preserve">  QueueWorker.tick()</w:t>
        <w:br/>
        <w:t xml:space="preserve">  TorMonitorService.tick()</w:t>
        <w:br/>
        <w:t xml:space="preserve">  sleep(1)</w:t>
        <w:br/>
      </w:r>
    </w:p>
    <w:p>
      <w:pPr>
        <w:spacing w:after="80"/>
      </w:pPr>
      <w:r>
        <w:t>SMTPServer e IMAPServer non gestiscono l'intera connessione nel thread del runtime: tick() accetta al massimo una connessione disponibile e avvia un thread daemon per la sessione. La queue e il monitor Tor restano invece task periodici del runtime. Questo mantiene semplice l'orchestrazione senza bloccare il loop principale su una sessione client.</w:t>
      </w:r>
    </w:p>
    <w:p>
      <w:pPr>
        <w:pStyle w:val="Heading1"/>
      </w:pPr>
      <w:r>
        <w:t>8. Pipeline condivisa di consegna</w:t>
      </w:r>
    </w:p>
    <w:p>
      <w:pPr>
        <w:spacing w:after="80"/>
      </w:pPr>
      <w:r>
        <w:t>La stessa Pipeline è usata sia dai messaggi composti localmente sia dai messaggi ricevuti via SMTP. Questa decisione evita due percorsi di consegna divergenti.</w:t>
      </w:r>
    </w:p>
    <w:p>
      <w:pPr>
        <w:spacing w:before="60" w:after="100"/>
        <w:ind w:left="317" w:right="173"/>
      </w:pPr>
      <w:r>
        <w:rPr>
          <w:rFonts w:ascii="Liberation Mono" w:hAnsi="Liberation Mono"/>
          <w:sz w:val="16"/>
        </w:rPr>
        <w:t>PipelineContext</w:t>
        <w:br/>
        <w:t xml:space="preserve">  message</w:t>
        <w:br/>
        <w:t xml:space="preserve">  accepted = True</w:t>
        <w:br/>
        <w:t xml:space="preserve">  reject_reason = ""</w:t>
        <w:br/>
        <w:t xml:space="preserve">  transport = "onion"</w:t>
        <w:br/>
        <w:t xml:space="preserve">  verification_status = UNSIGNED</w:t>
        <w:br/>
        <w:br/>
        <w:t>Pipeline</w:t>
        <w:br/>
        <w:t xml:space="preserve">  1. LoggerStage</w:t>
        <w:br/>
        <w:t xml:space="preserve">  2. DeliveryStage</w:t>
        <w:br/>
      </w:r>
    </w:p>
    <w:p>
      <w:pPr>
        <w:spacing w:after="80"/>
      </w:pPr>
      <w:r>
        <w:t>LoggerStage emette soltanto un evento generico di accettazione. DeliveryStage osserva il dominio del primo destinatario: se è locale salva direttamente il messaggio; altrimenti delega a QueueStage. QueueStage crea un QueueItem e lo accoda.</w:t>
      </w:r>
    </w:p>
    <w:p>
      <w:pPr>
        <w:pStyle w:val="Heading1"/>
      </w:pPr>
      <w:r>
        <w:t>9. Flusso di composizione locale</w:t>
      </w:r>
    </w:p>
    <w:p>
      <w:pPr>
        <w:spacing w:before="60" w:after="100"/>
        <w:ind w:left="317" w:right="173"/>
      </w:pPr>
      <w:r>
        <w:rPr>
          <w:rFonts w:ascii="Liberation Mono" w:hAnsi="Liberation Mono"/>
          <w:sz w:val="16"/>
        </w:rPr>
        <w:t>GUI / caller</w:t>
        <w:br/>
        <w:t xml:space="preserve">   |</w:t>
        <w:br/>
        <w:t xml:space="preserve">   v</w:t>
        <w:br/>
        <w:t>MailComposerService.send(sender, recipient, subject, body)</w:t>
        <w:br/>
        <w:t xml:space="preserve">   |</w:t>
        <w:br/>
        <w:t xml:space="preserve">   +-- validate sender/recipient non vuoti</w:t>
        <w:br/>
        <w:t xml:space="preserve">   +-- create minimal MailHeaders</w:t>
        <w:br/>
        <w:t xml:space="preserve">   +-- create MailMessage</w:t>
        <w:br/>
        <w:t xml:space="preserve">   +-- MessageSigner.sign()          [se configurato]</w:t>
        <w:br/>
        <w:t xml:space="preserve">   +-- MessageVerifier.verify()      [per stato locale, se configurato]</w:t>
        <w:br/>
        <w:t xml:space="preserve">   |</w:t>
        <w:br/>
        <w:t xml:space="preserve">   v</w:t>
        <w:br/>
        <w:t>Pipeline.execute()</w:t>
        <w:br/>
        <w:t xml:space="preserve">   |</w:t>
        <w:br/>
        <w:t xml:space="preserve">   +-- local domain -&gt; MessageStore.save_entry()</w:t>
        <w:br/>
        <w:t xml:space="preserve">   |</w:t>
        <w:br/>
        <w:t xml:space="preserve">   +-- remote domain -&gt; QueueStage -&gt; QueueManager</w:t>
        <w:br/>
      </w:r>
    </w:p>
    <w:p>
      <w:pPr>
        <w:spacing w:after="80"/>
      </w:pPr>
      <w:r>
        <w:t>Il composer accetta oggi un singolo recipient. La firma avviene prima della pipeline. Questo ha anche risolto il problema storico dell'auto-consegna: un messaggio destinato alla stessa istanza non viene prima mandato alla queue e poi riconsegnato via rete, ma entra nella pipeline e viene riconosciuto come locale.</w:t>
      </w:r>
    </w:p>
    <w:p>
      <w:pPr>
        <w:pStyle w:val="Heading1"/>
      </w:pPr>
      <w:r>
        <w:t>10. Ricezione SMTP inbound</w:t>
      </w:r>
    </w:p>
    <w:p>
      <w:pPr>
        <w:spacing w:after="80"/>
      </w:pPr>
      <w:r>
        <w:t>SMTPServer è Service + Tickable. TCPServer ascolta sulla configurazione SMTP; per ogni socket accettato viene creato un thread e un SMTPProtocol dedicato.</w:t>
      </w:r>
    </w:p>
    <w:p>
      <w:pPr>
        <w:spacing w:before="60" w:after="100"/>
        <w:ind w:left="317" w:right="173"/>
      </w:pPr>
      <w:r>
        <w:rPr>
          <w:rFonts w:ascii="Liberation Mono" w:hAnsi="Liberation Mono"/>
          <w:sz w:val="16"/>
        </w:rPr>
        <w:t>connection</w:t>
        <w:br/>
        <w:t xml:space="preserve">  -&gt; SMTPProtocol.send_greeting()</w:t>
        <w:br/>
        <w:t xml:space="preserve">  -&gt; EHLO / MAIL FROM / RCPT TO / DATA</w:t>
        <w:br/>
        <w:t xml:space="preserve">  -&gt; SMTPEngine + session FSM</w:t>
        <w:br/>
        <w:t xml:space="preserve">  -&gt; DATA complete</w:t>
        <w:br/>
        <w:t xml:space="preserve">       -&gt; verifier.verify(message)</w:t>
        <w:br/>
        <w:t xml:space="preserve">       -&gt; PipelineContext(message, verification_status)</w:t>
        <w:br/>
        <w:t xml:space="preserve">       -&gt; shared Pipeline</w:t>
        <w:br/>
        <w:t xml:space="preserve">       -&gt; 250 Message accepted / transaction failed</w:t>
        <w:br/>
      </w:r>
    </w:p>
    <w:p>
      <w:pPr>
        <w:spacing w:after="80"/>
      </w:pPr>
      <w:r>
        <w:t>La FSM supporta più RCPT prima di DATA e conserva l'ordine dei destinatari. Questo ordine è significativo anche per la canonicalizzazione della firma. QUIT chiude la sessione. Gli errori di connessione vengono loggati per categoria di eccezione, senza includere il contenuto dell'errore.</w:t>
      </w:r>
    </w:p>
    <w:p>
      <w:pPr>
        <w:pStyle w:val="Heading2"/>
      </w:pPr>
      <w:r>
        <w:t>10.1 EHLO e capability E2EE</w:t>
      </w:r>
    </w:p>
    <w:p>
      <w:pPr>
        <w:spacing w:after="80"/>
      </w:pPr>
      <w:r>
        <w:t>Il server pubblicizza opzionalmente una capability proprietaria nella risposta EHLO. Il valore viene generato dal builder a partire dalla vera chiave pubblica X25519 persistente dell'istanza.</w:t>
      </w:r>
    </w:p>
    <w:p>
      <w:pPr>
        <w:spacing w:before="60" w:after="100"/>
        <w:ind w:left="317" w:right="173"/>
      </w:pPr>
      <w:r>
        <w:rPr>
          <w:rFonts w:ascii="Liberation Mono" w:hAnsi="Liberation Mono"/>
          <w:sz w:val="16"/>
        </w:rPr>
        <w:t>250-Hello &lt;peer&gt;</w:t>
        <w:br/>
        <w:t>250 GARLICSMTP-E2EE v=1; alg=x25519; key=&lt;base64 X25519 public key&gt;</w:t>
      </w:r>
    </w:p>
    <w:p>
      <w:pPr>
        <w:spacing w:after="80"/>
      </w:pPr>
      <w:r>
        <w:t>SMTPReply.serialize() implementa il framing multilinea: tutte le righe intermedie usano codice + '-', l'ultima codice + spazio. La correzione è stata validata anche contro smtplib, dopo che la suite completa aveva rilevato una desincronizzazione dello stream causata dal precedente framing.</w:t>
      </w:r>
    </w:p>
    <w:p>
      <w:pPr>
        <w:pStyle w:val="Heading1"/>
      </w:pPr>
      <w:r>
        <w:t>11. Queue e retry</w:t>
      </w:r>
    </w:p>
    <w:p>
      <w:pPr>
        <w:spacing w:after="80"/>
      </w:pPr>
      <w:r>
        <w:t>I messaggi remoti vengono trasformati in QueueItem. QueueManager astrae il backend; il builder usa SQLiteQueueBackend. QueueWorker interroga la queue a ogni tick e tenta la consegna tramite TransportManager.</w:t>
      </w:r>
    </w:p>
    <w:p>
      <w:pPr>
        <w:spacing w:before="60" w:after="100"/>
        <w:ind w:left="317" w:right="173"/>
      </w:pPr>
      <w:r>
        <w:rPr>
          <w:rFonts w:ascii="Liberation Mono" w:hAnsi="Liberation Mono"/>
          <w:sz w:val="16"/>
        </w:rPr>
        <w:t>QueueWorker.process()</w:t>
        <w:br/>
        <w:t xml:space="preserve">  item = queue.peek()          # primo elemento pronto disponibile</w:t>
        <w:br/>
        <w:t xml:space="preserve">  if none/not ready -&gt; return</w:t>
        <w:br/>
        <w:t xml:space="preserve">  try transport.deliver(item)</w:t>
        <w:br/>
        <w:t xml:space="preserve">    success -&gt; ack</w:t>
        <w:br/>
        <w:t xml:space="preserve">    false   -&gt; nack</w:t>
        <w:br/>
        <w:t xml:space="preserve">  TemporaryDeliveryError:</w:t>
        <w:br/>
        <w:t xml:space="preserve">    attempts += 1</w:t>
        <w:br/>
        <w:t xml:space="preserve">    last_error = exception class name</w:t>
        <w:br/>
        <w:t xml:space="preserve">    next_retry = RetryPolicy.next_retry(attempts)</w:t>
        <w:br/>
        <w:t xml:space="preserve">    update + nack</w:t>
        <w:br/>
        <w:t xml:space="preserve">  PermanentDeliveryError:</w:t>
        <w:br/>
        <w:t xml:space="preserve">    ack / remove</w:t>
        <w:br/>
      </w:r>
    </w:p>
    <w:p>
      <w:pPr>
        <w:spacing w:after="80"/>
      </w:pPr>
      <w:r>
        <w:t>La queue è stata corretta affinché peek non faccia head-of-line blocking su un elemento con retry futuro: deve poter restituire il primo elemento effettivamente pronto. Per privacy, last_error conserva la categoria dell'errore e non il testo potenzialmente sensibile.</w:t>
      </w:r>
    </w:p>
    <w:p>
      <w:pPr>
        <w:pStyle w:val="Heading1"/>
      </w:pPr>
      <w:r>
        <w:t>12. Selezione e trasporto outbound</w:t>
      </w:r>
    </w:p>
    <w:p>
      <w:pPr>
        <w:spacing w:after="80"/>
      </w:pPr>
      <w:r>
        <w:t>TransportManager sceglie il trasporto dal primo destinatario. I destinatari onion usano il default transport, che nel builder è OnionTransport. Sono presenti anche hook per local_transport e smtp_transport.</w:t>
      </w:r>
    </w:p>
    <w:p>
      <w:pPr>
        <w:spacing w:before="60" w:after="100"/>
        <w:ind w:left="317" w:right="173"/>
      </w:pPr>
      <w:r>
        <w:rPr>
          <w:rFonts w:ascii="Liberation Mono" w:hAnsi="Liberation Mono"/>
          <w:sz w:val="16"/>
        </w:rPr>
        <w:t>QueueItem</w:t>
        <w:br/>
        <w:t xml:space="preserve">  -&gt; TransportManager.select_transport()</w:t>
        <w:br/>
        <w:t xml:space="preserve">       *.onion          -&gt; default transport (OnionTransport)</w:t>
        <w:br/>
        <w:t xml:space="preserve">       @localhost       -&gt; local_transport, se presente</w:t>
        <w:br/>
        <w:t xml:space="preserve">       otherwise        -&gt; smtp_transport, se presente</w:t>
        <w:br/>
        <w:t xml:space="preserve">       fallback         -&gt; default transport</w:t>
        <w:br/>
      </w:r>
    </w:p>
    <w:p>
      <w:pPr>
        <w:pStyle w:val="Heading2"/>
      </w:pPr>
      <w:r>
        <w:t>12.1 OnionTransport</w:t>
      </w:r>
    </w:p>
    <w:p>
      <w:pPr>
        <w:spacing w:after="80"/>
      </w:pPr>
      <w:r>
        <w:t>OnionTransport valida gli indirizzi, risolve il dominio onion di ogni destinatario e richiede che tutti appartengano allo stesso Onion Service. Se gli host differiscono, genera PermanentDeliveryError: l'eventuale splitting deve avvenire prima del trasporto.</w:t>
      </w:r>
    </w:p>
    <w:p>
      <w:pPr>
        <w:spacing w:before="60" w:after="100"/>
        <w:ind w:left="317" w:right="173"/>
      </w:pPr>
      <w:r>
        <w:rPr>
          <w:rFonts w:ascii="Liberation Mono" w:hAnsi="Liberation Mono"/>
          <w:sz w:val="16"/>
        </w:rPr>
        <w:t>OnionTransport.deliver()</w:t>
        <w:br/>
        <w:t xml:space="preserve">  validate recipients</w:t>
        <w:br/>
        <w:t xml:space="preserve">  resolve onion addresses</w:t>
        <w:br/>
        <w:t xml:space="preserve">  require same destination_host</w:t>
        <w:br/>
        <w:t xml:space="preserve">  SOCKS5 connect(destination_host, 25)</w:t>
        <w:br/>
        <w:t xml:space="preserve">  wrap connected socket in SMTPConnection</w:t>
        <w:br/>
        <w:t xml:space="preserve">  SMTPClient.deliver(message)</w:t>
        <w:br/>
        <w:t xml:space="preserve">  close SOCKS connection</w:t>
        <w:br/>
      </w:r>
    </w:p>
    <w:p>
      <w:pPr>
        <w:spacing w:after="80"/>
      </w:pPr>
      <w:r>
        <w:t>Errori SOCKS, SMTP, OSError e TimeoutError vengono convertiti in TemporaryDeliveryError. Errori strutturali del messaggio o destinatari onion incompatibili sono permanenti.</w:t>
      </w:r>
    </w:p>
    <w:p>
      <w:pPr>
        <w:pStyle w:val="Heading2"/>
      </w:pPr>
      <w:r>
        <w:t>12.2 SMTP client outbound</w:t>
      </w:r>
    </w:p>
    <w:p>
      <w:pPr>
        <w:spacing w:after="80"/>
      </w:pPr>
      <w:r>
        <w:t>SMTPClient esegue greeting, EHLO con identificatore generico [127.0.0.1], MAIL FROM, uno o più RCPT TO, DATA e QUIT. MessageSerializer.to_rfc5322() è il punto unico di serializzazione del messaggio.</w:t>
      </w:r>
    </w:p>
    <w:p>
      <w:pPr>
        <w:spacing w:after="80"/>
      </w:pPr>
      <w:r>
        <w:t>SMTPClientProtocol supporta reply multilinea e restituisce SMTPServerReply. Quest'ultimo espone capability(name), quindi il livello client possiede già la primitive necessaria per estrarre GARLICSMTP-E2EE dalla risposta EHLO. Nello snapshot SMTPClient.deliver() chiama ehlo() ma ne scarta ancora il risultato: la discovery E2EE non è ancora integrata.</w:t>
      </w:r>
    </w:p>
    <w:p>
      <w:pPr>
        <w:pStyle w:val="Heading1"/>
      </w:pPr>
      <w:r>
        <w:t>13. Tor Onion Service locale</w:t>
      </w:r>
    </w:p>
    <w:p>
      <w:pPr>
        <w:spacing w:after="80"/>
      </w:pPr>
      <w:r>
        <w:t>OnionServiceManager usa una connessione Tor Control dedicata e longeva. start() apre il control channel, autentica tramite SAFECOOKIE quando configurato e invoca ADD_ONION. La connessione resta aperta per mantenere vivo l'Onion Service ephemeral creato tramite Tor control.</w:t>
      </w:r>
    </w:p>
    <w:p>
      <w:pPr>
        <w:spacing w:before="60" w:after="100"/>
        <w:ind w:left="317" w:right="173"/>
      </w:pPr>
      <w:r>
        <w:rPr>
          <w:rFonts w:ascii="Liberation Mono" w:hAnsi="Liberation Mono"/>
          <w:sz w:val="16"/>
        </w:rPr>
        <w:t>OnionServiceManager.start()</w:t>
        <w:br/>
        <w:t xml:space="preserve">  TorControlClient.connect()</w:t>
        <w:br/>
        <w:t xml:space="preserve">  SafeCookieAuthenticator.authenticate()</w:t>
        <w:br/>
        <w:t xml:space="preserve">  ensure_service()</w:t>
        <w:br/>
        <w:t xml:space="preserve">    existing key -&gt; ADD_ONION with persisted ED25519-V3 key</w:t>
        <w:br/>
        <w:t xml:space="preserve">    missing key  -&gt; ADD_ONION NEW:ED25519-V3</w:t>
        <w:br/>
        <w:t xml:space="preserve">                    persist returned private key atomically</w:t>
        <w:br/>
        <w:t xml:space="preserve">  hostname = service_id + ".onion"</w:t>
        <w:br/>
        <w:t xml:space="preserve">  hostname_callback(hostname)</w:t>
        <w:br/>
      </w:r>
    </w:p>
    <w:p>
      <w:pPr>
        <w:spacing w:after="80"/>
      </w:pPr>
      <w:r>
        <w:t>Il callback registra dinamicamente l'hostname onion reale in local_domains e inserisce nel trust store la chiave Ed25519 locale per garlicsmtp@&lt;hostname&gt;. In questo modo l'istanza riconosce correttamente la propria identità dopo che Tor ha determinato il service_id.</w:t>
      </w:r>
    </w:p>
    <w:p>
      <w:pPr>
        <w:pStyle w:val="Heading2"/>
      </w:pPr>
      <w:r>
        <w:t>13.1 Protezione dell'identità Onion</w:t>
      </w:r>
    </w:p>
    <w:p>
      <w:pPr>
        <w:pStyle w:val="ListBullet"/>
        <w:spacing w:after="40"/>
      </w:pPr>
      <w:r>
        <w:t>Directory dell'identità portata a 0700 sui sistemi non Windows.</w:t>
      </w:r>
    </w:p>
    <w:p>
      <w:pPr>
        <w:pStyle w:val="ListBullet"/>
        <w:spacing w:after="40"/>
      </w:pPr>
      <w:r>
        <w:t>File identità portato a 0600.</w:t>
      </w:r>
    </w:p>
    <w:p>
      <w:pPr>
        <w:pStyle w:val="ListBullet"/>
        <w:spacing w:after="40"/>
      </w:pPr>
      <w:r>
        <w:t>Rifiuto di identity_file se symlink.</w:t>
      </w:r>
    </w:p>
    <w:p>
      <w:pPr>
        <w:pStyle w:val="ListBullet"/>
        <w:spacing w:after="40"/>
      </w:pPr>
      <w:r>
        <w:t>Scrittura iniziale tramite file temporaneo nella stessa directory, flush, fsync e os.replace.</w:t>
      </w:r>
    </w:p>
    <w:p>
      <w:pPr>
        <w:pStyle w:val="ListBullet"/>
        <w:spacing w:after="40"/>
      </w:pPr>
      <w:r>
        <w:t>Riutilizzo della stessa chiave ED25519-V3 alle partenze successive per ottenere un hostname onion stabile.</w:t>
      </w:r>
    </w:p>
    <w:p>
      <w:pPr>
        <w:pStyle w:val="Heading1"/>
      </w:pPr>
      <w:r>
        <w:t>14. Storage e IMAP</w:t>
      </w:r>
    </w:p>
    <w:p>
      <w:pPr>
        <w:spacing w:after="80"/>
      </w:pPr>
      <w:r>
        <w:t>MessageStore è la facciata sulle mailbox. Il builder usa SQLiteMessageStoreBackend; esiste anche un backend memory per test/uso leggero. Lo store gestisce creazione/rinomina/sottoscrizione mailbox, entry, flag, UID validity, copy/move e notifica le modifiche tramite StoreEventSink.</w:t>
      </w:r>
    </w:p>
    <w:p>
      <w:pPr>
        <w:spacing w:after="80"/>
      </w:pPr>
      <w:r>
        <w:t>IMAPServer usa lo stesso MessageStore, quindi i messaggi consegnati localmente dalla pipeline diventano visibili al client IMAP senza un secondo database o una sincronizzazione separata.</w:t>
      </w:r>
    </w:p>
    <w:p>
      <w:pPr>
        <w:spacing w:before="60" w:after="100"/>
        <w:ind w:left="317" w:right="173"/>
      </w:pPr>
      <w:r>
        <w:rPr>
          <w:rFonts w:ascii="Liberation Mono" w:hAnsi="Liberation Mono"/>
          <w:sz w:val="16"/>
        </w:rPr>
        <w:t>DeliveryStage -&gt; MessageStore(SQLite)</w:t>
        <w:br/>
        <w:t xml:space="preserve">                         ^</w:t>
        <w:br/>
        <w:t xml:space="preserve">                         |</w:t>
        <w:br/>
        <w:t xml:space="preserve">                    IMAPProtocol</w:t>
        <w:br/>
        <w:t xml:space="preserve">                         |</w:t>
        <w:br/>
        <w:t xml:space="preserve">                     IMAPServer</w:t>
        <w:br/>
      </w:r>
    </w:p>
    <w:p>
      <w:pPr>
        <w:spacing w:after="80"/>
      </w:pPr>
      <w:r>
        <w:t>Il server IMAP crea un thread per connessione. Sono presenti protocollo/sessione, SELECT-like mailbox state, FETCH, SEARCH, APPEND e IDLE. IMAPStoreEventAdapter collega gli eventi dello store alle notifiche IDLE della mailbox selezionata. Il greeting è minimizzato e il comando ID risponde con ID NIL per ridurre fingerprinting.</w:t>
      </w:r>
    </w:p>
    <w:p>
      <w:pPr>
        <w:pStyle w:val="Heading1"/>
      </w:pPr>
      <w:r>
        <w:t>15. GUI e application layer</w:t>
      </w:r>
    </w:p>
    <w:p>
      <w:pPr>
        <w:spacing w:after="80"/>
      </w:pPr>
      <w:r>
        <w:t>La GUI è basata su PySide6 e usa principalmente QtCore/QtWidgets. L'application layer contiene view model per stato applicativo, mailbox, lista messaggi, preview, compose, attività e stato Tor. La GUI non contiene la logica di routing o crittografia: il composer e i servizi applicativi delegano ai componenti di dominio/infrastruttura.</w:t>
      </w:r>
    </w:p>
    <w:p>
      <w:pPr>
        <w:spacing w:after="80"/>
      </w:pPr>
      <w:r>
        <w:t>L'architettura della UI è quindi un consumatore dei servizi già composti dall'ApplicationBuilder, non una seconda implementazione del protocollo.</w:t>
      </w:r>
    </w:p>
    <w:p>
      <w:pPr>
        <w:pStyle w:val="Heading1"/>
      </w:pPr>
      <w:r>
        <w:t>16. Eventi, logging e osservabilità</w:t>
      </w:r>
    </w:p>
    <w:p>
      <w:pPr>
        <w:spacing w:after="80"/>
      </w:pPr>
      <w:r>
        <w:t>ApplicationEventLog è RAM-only e ha capacità 500 nello stato corrente. Gli eventi applicativi vengono distribuiti tramite ApplicationEventHub/ApplicationEventService. L'hardening ha privilegiato messaggi normalizzati e privi di indirizzi, contenuti, hostname remoti o stack detail non necessari.</w:t>
      </w:r>
    </w:p>
    <w:p>
      <w:pPr>
        <w:pStyle w:val="ListBullet"/>
        <w:spacing w:after="40"/>
      </w:pPr>
      <w:r>
        <w:t>Pipeline: log generico di messaggio accettato.</w:t>
      </w:r>
    </w:p>
    <w:p>
      <w:pPr>
        <w:pStyle w:val="ListBullet"/>
        <w:spacing w:after="40"/>
      </w:pPr>
      <w:r>
        <w:t>QueueWorker: registra soltanto il nome della classe di eccezione.</w:t>
      </w:r>
    </w:p>
    <w:p>
      <w:pPr>
        <w:pStyle w:val="ListBullet"/>
        <w:spacing w:after="40"/>
      </w:pPr>
      <w:r>
        <w:t>SMTP server: errore di connessione come categoria di eccezione.</w:t>
      </w:r>
    </w:p>
    <w:p>
      <w:pPr>
        <w:pStyle w:val="ListBullet"/>
        <w:spacing w:after="40"/>
      </w:pPr>
      <w:r>
        <w:t>Event log: capacità limitata, non usato come archivio persistente del traffico.</w:t>
      </w:r>
    </w:p>
    <w:p>
      <w:pPr>
        <w:pStyle w:val="Heading1"/>
      </w:pPr>
      <w:r>
        <w:t>17. Firma Ed25519: autenticità e integrità</w:t>
      </w:r>
    </w:p>
    <w:p>
      <w:pPr>
        <w:spacing w:after="80"/>
      </w:pPr>
      <w:r>
        <w:t>La firma è indipendente dal trasporto. SigningIdentity persiste una chiave Ed25519 distinta dall'identità Onion e dalla chiave X25519. MessageSigner canonicalizza il messaggio e aggiunge X-GarlicSMTP-Signature.</w:t>
      </w:r>
    </w:p>
    <w:p>
      <w:pPr>
        <w:spacing w:before="60" w:after="100"/>
        <w:ind w:left="317" w:right="173"/>
      </w:pPr>
      <w:r>
        <w:rPr>
          <w:rFonts w:ascii="Liberation Mono" w:hAnsi="Liberation Mono"/>
          <w:sz w:val="16"/>
        </w:rPr>
        <w:t>Canonical JSON v1:</w:t>
        <w:br/>
        <w:t>{</w:t>
        <w:br/>
        <w:t xml:space="preserve">  version,</w:t>
        <w:br/>
        <w:t xml:space="preserve">  envelope: {</w:t>
        <w:br/>
        <w:t xml:space="preserve">    sender,</w:t>
        <w:br/>
        <w:t xml:space="preserve">    recipients: [ordine preservato]</w:t>
        <w:br/>
        <w:t xml:space="preserve">  },</w:t>
        <w:br/>
        <w:t xml:space="preserve">  headers: {</w:t>
        <w:br/>
        <w:t xml:space="preserve">    nomi lower-case,</w:t>
        <w:br/>
        <w:t xml:space="preserve">    escluso X-GarlicSMTP-Signature</w:t>
        <w:br/>
        <w:t xml:space="preserve">  },</w:t>
        <w:br/>
        <w:t xml:space="preserve">  body</w:t>
        <w:br/>
        <w:t>}</w:t>
        <w:br/>
        <w:t>UTF-8, sort_keys=True, separators compatti</w:t>
        <w:br/>
      </w:r>
    </w:p>
    <w:p>
      <w:pPr>
        <w:spacing w:after="80"/>
      </w:pPr>
      <w:r>
        <w:t>Il verifier ricostruisce la canonicalizzazione, verifica Ed25519 e solo dopo consulta il trust store. Validità crittografica e fiducia nel mittente restano concetti separati.</w:t>
      </w:r>
    </w:p>
    <w:p>
      <w:pPr>
        <w:pStyle w:val="Heading2"/>
      </w:pPr>
      <w:r>
        <w:t>17.1 Trust store Ed25519</w:t>
      </w:r>
    </w:p>
    <w:p>
      <w:pPr>
        <w:spacing w:after="80"/>
      </w:pPr>
      <w:r>
        <w:t>FileTrustStore persiste l'associazione di fiducia usata dal verifier. La prima firma crittograficamente valida di una chiave non trusted produce UNKNOWN_KEY, non VERIFIED. Il trust è quindi una decisione locale esplicita, salvo l'auto-trust controllato della propria identità onion registrata dal builder.</w:t>
      </w:r>
    </w:p>
    <w:p>
      <w:pPr>
        <w:pStyle w:val="Heading1"/>
      </w:pPr>
      <w:r>
        <w:t>18. E2EE: modello crittografico implementato come primitive</w:t>
      </w:r>
    </w:p>
    <w:p>
      <w:pPr>
        <w:spacing w:after="80"/>
      </w:pPr>
      <w:r>
        <w:t>Lo strato E2EE v1 esiste come primitive testata ma non è ancora collegato al composer e all'ingresso SMTP. La scelta architetturale è sign-then-encrypt.</w:t>
      </w:r>
    </w:p>
    <w:p>
      <w:pPr>
        <w:spacing w:before="60" w:after="100"/>
        <w:ind w:left="317" w:right="173"/>
      </w:pPr>
      <w:r>
        <w:rPr>
          <w:rFonts w:ascii="Liberation Mono" w:hAnsi="Liberation Mono"/>
          <w:sz w:val="16"/>
        </w:rPr>
        <w:t>OUTBOUND previsto:</w:t>
        <w:br/>
        <w:t xml:space="preserve">  plaintext MailMessage</w:t>
        <w:br/>
        <w:t xml:space="preserve">      -&gt; MessageSigner</w:t>
        <w:br/>
        <w:t xml:space="preserve">      -&gt; signed MailMessage</w:t>
        <w:br/>
        <w:t xml:space="preserve">      -&gt; MessageEncryptor</w:t>
        <w:br/>
        <w:t xml:space="preserve">      -&gt; encrypted outer MailMessage</w:t>
        <w:br/>
        <w:t xml:space="preserve">      -&gt; Pipeline / Queue / Onion SMTP</w:t>
        <w:br/>
        <w:br/>
        <w:t>INBOUND previsto:</w:t>
        <w:br/>
        <w:t xml:space="preserve">  encrypted outer MailMessage</w:t>
        <w:br/>
        <w:t xml:space="preserve">      -&gt; MessageDecryptor</w:t>
        <w:br/>
        <w:t xml:space="preserve">      -&gt; signed plaintext MailMessage</w:t>
        <w:br/>
        <w:t xml:space="preserve">      -&gt; MessageVerifier</w:t>
        <w:br/>
        <w:t xml:space="preserve">      -&gt; Pipeline / Store</w:t>
        <w:br/>
      </w:r>
    </w:p>
    <w:p>
      <w:pPr>
        <w:pStyle w:val="Heading2"/>
      </w:pPr>
      <w:r>
        <w:t>18.1 Algoritmi e derivazione</w:t>
      </w:r>
    </w:p>
    <w:tbl>
      <w:tblPr>
        <w:tblStyle w:val="TableGrid"/>
        <w:tblW w:type="auto" w:w="0"/>
        <w:jc w:val="center"/>
        <w:tblLook w:firstColumn="1" w:firstRow="1" w:lastColumn="0" w:lastRow="0" w:noHBand="0" w:noVBand="1" w:val="04A0"/>
      </w:tblPr>
      <w:tblGrid>
        <w:gridCol w:w="4997"/>
        <w:gridCol w:w="4997"/>
      </w:tblGrid>
      <w:tr>
        <w:tc>
          <w:tcPr>
            <w:tcW w:type="dxa" w:w="4997"/>
          </w:tcPr>
          <w:p>
            <w:r>
              <w:rPr>
                <w:b/>
              </w:rPr>
              <w:t>Funzione</w:t>
            </w:r>
          </w:p>
        </w:tc>
        <w:tc>
          <w:tcPr>
            <w:tcW w:type="dxa" w:w="4997"/>
          </w:tcPr>
          <w:p>
            <w:r>
              <w:rPr>
                <w:b/>
              </w:rPr>
              <w:t>Scelta v1</w:t>
            </w:r>
          </w:p>
        </w:tc>
      </w:tr>
      <w:tr>
        <w:tc>
          <w:tcPr>
            <w:tcW w:type="dxa" w:w="4997"/>
            <w:vAlign w:val="top"/>
          </w:tcPr>
          <w:p>
            <w:r>
              <w:t>Key agreement</w:t>
            </w:r>
          </w:p>
        </w:tc>
        <w:tc>
          <w:tcPr>
            <w:tcW w:type="dxa" w:w="4997"/>
            <w:vAlign w:val="top"/>
          </w:tcPr>
          <w:p>
            <w:r>
              <w:t>X25519: chiave long-term del destinatario + ephemeral sender key.</w:t>
            </w:r>
          </w:p>
        </w:tc>
      </w:tr>
      <w:tr>
        <w:tc>
          <w:tcPr>
            <w:tcW w:type="dxa" w:w="4997"/>
            <w:vAlign w:val="top"/>
          </w:tcPr>
          <w:p>
            <w:r>
              <w:t>KDF</w:t>
            </w:r>
          </w:p>
        </w:tc>
        <w:tc>
          <w:tcPr>
            <w:tcW w:type="dxa" w:w="4997"/>
            <w:vAlign w:val="top"/>
          </w:tcPr>
          <w:p>
            <w:r>
              <w:t>HKDF-SHA256, 32 byte, info = "GarlicSMTP E2EE v1", salt=None.</w:t>
            </w:r>
          </w:p>
        </w:tc>
      </w:tr>
      <w:tr>
        <w:tc>
          <w:tcPr>
            <w:tcW w:type="dxa" w:w="4997"/>
            <w:vAlign w:val="top"/>
          </w:tcPr>
          <w:p>
            <w:r>
              <w:t>AEAD</w:t>
            </w:r>
          </w:p>
        </w:tc>
        <w:tc>
          <w:tcPr>
            <w:tcW w:type="dxa" w:w="4997"/>
            <w:vAlign w:val="top"/>
          </w:tcPr>
          <w:p>
            <w:r>
              <w:t>ChaCha20-Poly1305.</w:t>
            </w:r>
          </w:p>
        </w:tc>
      </w:tr>
      <w:tr>
        <w:tc>
          <w:tcPr>
            <w:tcW w:type="dxa" w:w="4997"/>
            <w:vAlign w:val="top"/>
          </w:tcPr>
          <w:p>
            <w:r>
              <w:t>Nonce</w:t>
            </w:r>
          </w:p>
        </w:tc>
        <w:tc>
          <w:tcPr>
            <w:tcW w:type="dxa" w:w="4997"/>
            <w:vAlign w:val="top"/>
          </w:tcPr>
          <w:p>
            <w:r>
              <w:t>12 byte casuali.</w:t>
            </w:r>
          </w:p>
        </w:tc>
      </w:tr>
      <w:tr>
        <w:tc>
          <w:tcPr>
            <w:tcW w:type="dxa" w:w="4997"/>
            <w:vAlign w:val="top"/>
          </w:tcPr>
          <w:p>
            <w:r>
              <w:t>Payload cifrato</w:t>
            </w:r>
          </w:p>
        </w:tc>
        <w:tc>
          <w:tcPr>
            <w:tcW w:type="dxa" w:w="4997"/>
            <w:vAlign w:val="top"/>
          </w:tcPr>
          <w:p>
            <w:r>
              <w:t>JSON contenente headers e body.</w:t>
            </w:r>
          </w:p>
        </w:tc>
      </w:tr>
      <w:tr>
        <w:tc>
          <w:tcPr>
            <w:tcW w:type="dxa" w:w="4997"/>
            <w:vAlign w:val="top"/>
          </w:tcPr>
          <w:p>
            <w:r>
              <w:t>AAD</w:t>
            </w:r>
          </w:p>
        </w:tc>
        <w:tc>
          <w:tcPr>
            <w:tcW w:type="dxa" w:w="4997"/>
            <w:vAlign w:val="top"/>
          </w:tcPr>
          <w:p>
            <w:r>
              <w:t>JSON canonico dell'envelope sender + recipients ordinati.</w:t>
            </w:r>
          </w:p>
        </w:tc>
      </w:tr>
    </w:tbl>
    <w:p>
      <w:pPr>
        <w:spacing w:after="20"/>
      </w:pPr>
    </w:p>
    <w:p>
      <w:pPr>
        <w:pStyle w:val="Heading2"/>
      </w:pPr>
      <w:r>
        <w:t>18.2 Forma del messaggio cifrato</w:t>
      </w:r>
    </w:p>
    <w:p>
      <w:pPr>
        <w:spacing w:before="60" w:after="100"/>
        <w:ind w:left="317" w:right="173"/>
      </w:pPr>
      <w:r>
        <w:rPr>
          <w:rFonts w:ascii="Liberation Mono" w:hAnsi="Liberation Mono"/>
          <w:sz w:val="16"/>
        </w:rPr>
        <w:t>Outer MailMessage</w:t>
        <w:br/>
        <w:t xml:space="preserve">  envelope = envelope originale       # necessario al routing, ma autenticato come AAD</w:t>
        <w:br/>
        <w:t xml:space="preserve">  headers:</w:t>
        <w:br/>
        <w:t xml:space="preserve">    X-GarlicSMTP-Encryption:</w:t>
        <w:br/>
        <w:t xml:space="preserve">      v=1; alg=x25519-chacha20poly1305;</w:t>
        <w:br/>
        <w:t xml:space="preserve">      key=&lt;ephemeral X25519 public key&gt;;</w:t>
        <w:br/>
        <w:t xml:space="preserve">      nonce=&lt;12-byte nonce&gt;</w:t>
        <w:br/>
        <w:t xml:space="preserve">  body = base64(ciphertext + Poly1305 tag)</w:t>
        <w:br/>
      </w:r>
    </w:p>
    <w:p>
      <w:pPr>
        <w:spacing w:after="80"/>
      </w:pPr>
      <w:r>
        <w:t>Gli header originali, inclusa la firma, e il body originale sono quindi nascosti nel ciphertext. Una modifica all'envelope provoca fallimento AEAD perché l'envelope viene ricostruito come AAD in decifratura.</w:t>
      </w:r>
    </w:p>
    <w:p>
      <w:pPr>
        <w:pStyle w:val="Heading2"/>
      </w:pPr>
      <w:r>
        <w:t>18.3 EncryptionIdentity</w:t>
      </w:r>
    </w:p>
    <w:p>
      <w:pPr>
        <w:spacing w:after="80"/>
      </w:pPr>
      <w:r>
        <w:t>EncryptionIdentity persiste la chiave privata X25519 dell'istanza in root/encryption.key. La protezione replica il modello usato per SigningIdentity: directory 0700, file 0600, rifiuto symlink, scrittura atomica nella stessa directory, fsync e repair dei permessi di una chiave esistente.</w:t>
      </w:r>
    </w:p>
    <w:p>
      <w:pPr>
        <w:pStyle w:val="Heading2"/>
      </w:pPr>
      <w:r>
        <w:t>18.4 Parser E2EE rigoroso</w:t>
      </w:r>
    </w:p>
    <w:p>
      <w:pPr>
        <w:spacing w:after="80"/>
      </w:pPr>
      <w:r>
        <w:t>Decryptor ed EncryptionCapability adottano parsing chiuso: versione/algoritmo esatti, campi richiesti, nessun campo sconosciuto o duplicato, Base64 con validate=True e lunghezze X25519/nonce controllate. Il payload decifrato deve essere esattamente un oggetto con headers dict e body string.</w:t>
      </w:r>
    </w:p>
    <w:p>
      <w:pPr>
        <w:pStyle w:val="Heading1"/>
      </w:pPr>
      <w:r>
        <w:t>19. Discovery E2EE server-side: stato completato</w:t>
      </w:r>
    </w:p>
    <w:p>
      <w:pPr>
        <w:spacing w:after="80"/>
      </w:pPr>
      <w:r>
        <w:t>La parte server della discovery è implementata. ApplicationBuilder carica/crea encryption.key, costruisce EncryptionCapability(public_key).serialize() e propaga la stringa fino a EHLOHandler.</w:t>
      </w:r>
    </w:p>
    <w:p>
      <w:pPr>
        <w:spacing w:before="60" w:after="100"/>
        <w:ind w:left="317" w:right="173"/>
      </w:pPr>
      <w:r>
        <w:rPr>
          <w:rFonts w:ascii="Liberation Mono" w:hAnsi="Liberation Mono"/>
          <w:sz w:val="16"/>
        </w:rPr>
        <w:t>encryption.key</w:t>
        <w:br/>
        <w:t xml:space="preserve">   -&gt; EncryptionIdentity.private_key.public_key()</w:t>
        <w:br/>
        <w:t xml:space="preserve">   -&gt; EncryptionCapability.serialize()</w:t>
        <w:br/>
        <w:t xml:space="preserve">   -&gt; SMTPServer.e2ee_capability</w:t>
        <w:br/>
        <w:t xml:space="preserve">   -&gt; SMTPProtocol</w:t>
        <w:br/>
        <w:t xml:space="preserve">   -&gt; create_dispatcher()</w:t>
        <w:br/>
        <w:t xml:space="preserve">   -&gt; EHLOHandler</w:t>
        <w:br/>
        <w:t xml:space="preserve">   -&gt; GARLICSMTP-E2EE ...</w:t>
      </w:r>
    </w:p>
    <w:p>
      <w:pPr>
        <w:spacing w:after="80"/>
      </w:pPr>
      <w:r>
        <w:t>Il client SMTP interno sa già leggere reply multilinea e SMTPServerReply.capability() sa estrarre il valore della capability. Questo costituisce il confine esatto fra il blocco chiuso e il prossimo Sprint.</w:t>
      </w:r>
    </w:p>
    <w:p>
      <w:pPr>
        <w:pStyle w:val="Heading1"/>
      </w:pPr>
      <w:r>
        <w:t>20. Confini di fiducia e informazioni visibili</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rPr>
                <w:b/>
              </w:rPr>
              <w:t>Confine</w:t>
            </w:r>
          </w:p>
        </w:tc>
        <w:tc>
          <w:tcPr>
            <w:tcW w:type="dxa" w:w="3331"/>
          </w:tcPr>
          <w:p>
            <w:r>
              <w:rPr>
                <w:b/>
              </w:rPr>
              <w:t>Visibile / fidato</w:t>
            </w:r>
          </w:p>
        </w:tc>
        <w:tc>
          <w:tcPr>
            <w:tcW w:type="dxa" w:w="3331"/>
          </w:tcPr>
          <w:p>
            <w:r>
              <w:rPr>
                <w:b/>
              </w:rPr>
              <w:t>Protezione attuale</w:t>
            </w:r>
          </w:p>
        </w:tc>
      </w:tr>
      <w:tr>
        <w:tc>
          <w:tcPr>
            <w:tcW w:type="dxa" w:w="3331"/>
            <w:vAlign w:val="top"/>
          </w:tcPr>
          <w:p>
            <w:r>
              <w:t>GUI -&gt; composer</w:t>
            </w:r>
          </w:p>
        </w:tc>
        <w:tc>
          <w:tcPr>
            <w:tcW w:type="dxa" w:w="3331"/>
            <w:vAlign w:val="top"/>
          </w:tcPr>
          <w:p>
            <w:r>
              <w:t>Plaintext locale</w:t>
            </w:r>
          </w:p>
        </w:tc>
        <w:tc>
          <w:tcPr>
            <w:tcW w:type="dxa" w:w="3331"/>
            <w:vAlign w:val="top"/>
          </w:tcPr>
          <w:p>
            <w:r>
              <w:t>Processo locale; firma prima della pipeline.</w:t>
            </w:r>
          </w:p>
        </w:tc>
      </w:tr>
      <w:tr>
        <w:tc>
          <w:tcPr>
            <w:tcW w:type="dxa" w:w="3331"/>
            <w:vAlign w:val="top"/>
          </w:tcPr>
          <w:p>
            <w:r>
              <w:t>Pipeline -&gt; queue</w:t>
            </w:r>
          </w:p>
        </w:tc>
        <w:tc>
          <w:tcPr>
            <w:tcW w:type="dxa" w:w="3331"/>
            <w:vAlign w:val="top"/>
          </w:tcPr>
          <w:p>
            <w:r>
              <w:t>Messaggio firmato oggi in plaintext</w:t>
            </w:r>
          </w:p>
        </w:tc>
        <w:tc>
          <w:tcPr>
            <w:tcW w:type="dxa" w:w="3331"/>
            <w:vAlign w:val="top"/>
          </w:tcPr>
          <w:p>
            <w:r>
              <w:t>SQLite locale; E2EE non ancora cablata.</w:t>
            </w:r>
          </w:p>
        </w:tc>
      </w:tr>
      <w:tr>
        <w:tc>
          <w:tcPr>
            <w:tcW w:type="dxa" w:w="3331"/>
            <w:vAlign w:val="top"/>
          </w:tcPr>
          <w:p>
            <w:r>
              <w:t>OnionTransport -&gt; peer</w:t>
            </w:r>
          </w:p>
        </w:tc>
        <w:tc>
          <w:tcPr>
            <w:tcW w:type="dxa" w:w="3331"/>
            <w:vAlign w:val="top"/>
          </w:tcPr>
          <w:p>
            <w:r>
              <w:t>Envelope + RFC5322</w:t>
            </w:r>
          </w:p>
        </w:tc>
        <w:tc>
          <w:tcPr>
            <w:tcW w:type="dxa" w:w="3331"/>
            <w:vAlign w:val="top"/>
          </w:tcPr>
          <w:p>
            <w:r>
              <w:t>Tor trasporto; firma end-to-end.</w:t>
            </w:r>
          </w:p>
        </w:tc>
      </w:tr>
      <w:tr>
        <w:tc>
          <w:tcPr>
            <w:tcW w:type="dxa" w:w="3331"/>
            <w:vAlign w:val="top"/>
          </w:tcPr>
          <w:p>
            <w:r>
              <w:t>E2EE futuro</w:t>
            </w:r>
          </w:p>
        </w:tc>
        <w:tc>
          <w:tcPr>
            <w:tcW w:type="dxa" w:w="3331"/>
            <w:vAlign w:val="top"/>
          </w:tcPr>
          <w:p>
            <w:r>
              <w:t>Envelope resta visibile; header/body cifrati</w:t>
            </w:r>
          </w:p>
        </w:tc>
        <w:tc>
          <w:tcPr>
            <w:tcW w:type="dxa" w:w="3331"/>
            <w:vAlign w:val="top"/>
          </w:tcPr>
          <w:p>
            <w:r>
              <w:t>AEAD autentica anche envelope.</w:t>
            </w:r>
          </w:p>
        </w:tc>
      </w:tr>
      <w:tr>
        <w:tc>
          <w:tcPr>
            <w:tcW w:type="dxa" w:w="3331"/>
            <w:vAlign w:val="top"/>
          </w:tcPr>
          <w:p>
            <w:r>
              <w:t>SMTP inbound</w:t>
            </w:r>
          </w:p>
        </w:tc>
        <w:tc>
          <w:tcPr>
            <w:tcW w:type="dxa" w:w="3331"/>
            <w:vAlign w:val="top"/>
          </w:tcPr>
          <w:p>
            <w:r>
              <w:t>Peer controlla input SMTP</w:t>
            </w:r>
          </w:p>
        </w:tc>
        <w:tc>
          <w:tcPr>
            <w:tcW w:type="dxa" w:w="3331"/>
            <w:vAlign w:val="top"/>
          </w:tcPr>
          <w:p>
            <w:r>
              <w:t>Parser/FSM + firma verifier; decrypt non ancora integrato.</w:t>
            </w:r>
          </w:p>
        </w:tc>
      </w:tr>
      <w:tr>
        <w:tc>
          <w:tcPr>
            <w:tcW w:type="dxa" w:w="3331"/>
            <w:vAlign w:val="top"/>
          </w:tcPr>
          <w:p>
            <w:r>
              <w:t>Tor control</w:t>
            </w:r>
          </w:p>
        </w:tc>
        <w:tc>
          <w:tcPr>
            <w:tcW w:type="dxa" w:w="3331"/>
            <w:vAlign w:val="top"/>
          </w:tcPr>
          <w:p>
            <w:r>
              <w:t>Identità Onion e comandi ADD_ONION</w:t>
            </w:r>
          </w:p>
        </w:tc>
        <w:tc>
          <w:tcPr>
            <w:tcW w:type="dxa" w:w="3331"/>
            <w:vAlign w:val="top"/>
          </w:tcPr>
          <w:p>
            <w:r>
              <w:t>SAFECOOKIE + control connection dedicata.</w:t>
            </w:r>
          </w:p>
        </w:tc>
      </w:tr>
      <w:tr>
        <w:tc>
          <w:tcPr>
            <w:tcW w:type="dxa" w:w="3331"/>
            <w:vAlign w:val="top"/>
          </w:tcPr>
          <w:p>
            <w:r>
              <w:t>Filesystem</w:t>
            </w:r>
          </w:p>
        </w:tc>
        <w:tc>
          <w:tcPr>
            <w:tcW w:type="dxa" w:w="3331"/>
            <w:vAlign w:val="top"/>
          </w:tcPr>
          <w:p>
            <w:r>
              <w:t>Chiavi e DB locali</w:t>
            </w:r>
          </w:p>
        </w:tc>
        <w:tc>
          <w:tcPr>
            <w:tcW w:type="dxa" w:w="3331"/>
            <w:vAlign w:val="top"/>
          </w:tcPr>
          <w:p>
            <w:r>
              <w:t>Key file hardening; cifratura at-rest ancora futura.</w:t>
            </w:r>
          </w:p>
        </w:tc>
      </w:tr>
    </w:tbl>
    <w:p>
      <w:pPr>
        <w:spacing w:after="20"/>
      </w:pPr>
    </w:p>
    <w:p>
      <w:pPr>
        <w:pStyle w:val="Heading1"/>
      </w:pPr>
      <w:r>
        <w:t>21. Invarianti di sicurezza già stabilite</w:t>
      </w:r>
    </w:p>
    <w:p>
      <w:pPr>
        <w:pStyle w:val="ListBullet"/>
        <w:spacing w:after="40"/>
      </w:pPr>
      <w:r>
        <w:t>Le tre identità crittografiche hanno scopi separati: Onion Service, Ed25519 signing, X25519 encryption.</w:t>
      </w:r>
    </w:p>
    <w:p>
      <w:pPr>
        <w:pStyle w:val="ListBullet"/>
        <w:spacing w:after="40"/>
      </w:pPr>
      <w:r>
        <w:t>La validità di una firma non implica automaticamente trust del mittente.</w:t>
      </w:r>
    </w:p>
    <w:p>
      <w:pPr>
        <w:pStyle w:val="ListBullet"/>
        <w:spacing w:after="40"/>
      </w:pPr>
      <w:r>
        <w:t>La firma include envelope e ordine dei destinatari.</w:t>
      </w:r>
    </w:p>
    <w:p>
      <w:pPr>
        <w:pStyle w:val="ListBullet"/>
        <w:spacing w:after="40"/>
      </w:pPr>
      <w:r>
        <w:t>L'E2EE autentica l'envelope esterno come AAD.</w:t>
      </w:r>
    </w:p>
    <w:p>
      <w:pPr>
        <w:pStyle w:val="ListBullet"/>
        <w:spacing w:after="40"/>
      </w:pPr>
      <w:r>
        <w:t>Le chiavi private persistenti non devono essere seguite attraverso symlink e sono protette da permessi stretti.</w:t>
      </w:r>
    </w:p>
    <w:p>
      <w:pPr>
        <w:pStyle w:val="ListBullet"/>
        <w:spacing w:after="40"/>
      </w:pPr>
      <w:r>
        <w:t>Le scritture iniziali delle identità sono atomiche nella stessa directory.</w:t>
      </w:r>
    </w:p>
    <w:p>
      <w:pPr>
        <w:pStyle w:val="ListBullet"/>
        <w:spacing w:after="40"/>
      </w:pPr>
      <w:r>
        <w:t>I log non devono diventare un canale secondario di leakage di indirizzi o contenuti.</w:t>
      </w:r>
    </w:p>
    <w:p>
      <w:pPr>
        <w:pStyle w:val="ListBullet"/>
        <w:spacing w:after="40"/>
      </w:pPr>
      <w:r>
        <w:t>Un trasporto Onion non deve mescolare in una singola sessione destinatari appartenenti a host onion differenti.</w:t>
      </w:r>
    </w:p>
    <w:p>
      <w:pPr>
        <w:pStyle w:val="ListBullet"/>
        <w:spacing w:after="40"/>
      </w:pPr>
      <w:r>
        <w:t>La capability E2EE deve essere parsata con formato chiuso, non come dizionario permissivo.</w:t>
      </w:r>
    </w:p>
    <w:p>
      <w:pPr>
        <w:pStyle w:val="Heading1"/>
      </w:pPr>
      <w:r>
        <w:t>22. Cosa NON è ancora E2EE end-to-end</w:t>
      </w:r>
    </w:p>
    <w:p>
      <w:pPr>
        <w:spacing w:after="80"/>
      </w:pPr>
      <w:r>
        <w:t>È importante non interpretare la presenza di encryption.key e della capability EHLO come E2EE già attiva sul traffico. Nello snapshot il percorso operativo continua a firmare il messaggio e ad accodarlo/trasmetterlo senza chiamare MessageEncryptor. Analogamente SMTPProtocol verifica direttamente session.message senza chiamare MessageDecryptor.</w:t>
      </w:r>
    </w:p>
    <w:tbl>
      <w:tblPr>
        <w:tblStyle w:val="TableGrid"/>
        <w:tblW w:type="auto" w:w="0"/>
        <w:jc w:val="center"/>
        <w:tblLook w:firstColumn="1" w:firstRow="1" w:lastColumn="0" w:lastRow="0" w:noHBand="0" w:noVBand="1" w:val="04A0"/>
      </w:tblPr>
      <w:tblGrid>
        <w:gridCol w:w="4997"/>
        <w:gridCol w:w="4997"/>
      </w:tblGrid>
      <w:tr>
        <w:tc>
          <w:tcPr>
            <w:tcW w:type="dxa" w:w="4997"/>
          </w:tcPr>
          <w:p>
            <w:r>
              <w:rPr>
                <w:b/>
              </w:rPr>
              <w:t>Componente</w:t>
            </w:r>
          </w:p>
        </w:tc>
        <w:tc>
          <w:tcPr>
            <w:tcW w:type="dxa" w:w="4997"/>
          </w:tcPr>
          <w:p>
            <w:r>
              <w:rPr>
                <w:b/>
              </w:rPr>
              <w:t>Stato al checkpoint</w:t>
            </w:r>
          </w:p>
        </w:tc>
      </w:tr>
      <w:tr>
        <w:tc>
          <w:tcPr>
            <w:tcW w:type="dxa" w:w="4997"/>
            <w:vAlign w:val="top"/>
          </w:tcPr>
          <w:p>
            <w:r>
              <w:t>MessageEncryptor / MessageDecryptor</w:t>
            </w:r>
          </w:p>
        </w:tc>
        <w:tc>
          <w:tcPr>
            <w:tcW w:type="dxa" w:w="4997"/>
            <w:vAlign w:val="top"/>
          </w:tcPr>
          <w:p>
            <w:r>
              <w:t>PRIMITIVA PRONTA</w:t>
            </w:r>
          </w:p>
        </w:tc>
      </w:tr>
      <w:tr>
        <w:tc>
          <w:tcPr>
            <w:tcW w:type="dxa" w:w="4997"/>
            <w:vAlign w:val="top"/>
          </w:tcPr>
          <w:p>
            <w:r>
              <w:t>EncryptionIdentity persistente</w:t>
            </w:r>
          </w:p>
        </w:tc>
        <w:tc>
          <w:tcPr>
            <w:tcW w:type="dxa" w:w="4997"/>
            <w:vAlign w:val="top"/>
          </w:tcPr>
          <w:p>
            <w:r>
              <w:t>IMPLEMENTATO</w:t>
            </w:r>
          </w:p>
        </w:tc>
      </w:tr>
      <w:tr>
        <w:tc>
          <w:tcPr>
            <w:tcW w:type="dxa" w:w="4997"/>
            <w:vAlign w:val="top"/>
          </w:tcPr>
          <w:p>
            <w:r>
              <w:t>EncryptionCapability parse/serialize</w:t>
            </w:r>
          </w:p>
        </w:tc>
        <w:tc>
          <w:tcPr>
            <w:tcW w:type="dxa" w:w="4997"/>
            <w:vAlign w:val="top"/>
          </w:tcPr>
          <w:p>
            <w:r>
              <w:t>IMPLEMENTATO</w:t>
            </w:r>
          </w:p>
        </w:tc>
      </w:tr>
      <w:tr>
        <w:tc>
          <w:tcPr>
            <w:tcW w:type="dxa" w:w="4997"/>
            <w:vAlign w:val="top"/>
          </w:tcPr>
          <w:p>
            <w:r>
              <w:t>Advertisement EHLO server-side</w:t>
            </w:r>
          </w:p>
        </w:tc>
        <w:tc>
          <w:tcPr>
            <w:tcW w:type="dxa" w:w="4997"/>
            <w:vAlign w:val="top"/>
          </w:tcPr>
          <w:p>
            <w:r>
              <w:t>IMPLEMENTATO</w:t>
            </w:r>
          </w:p>
        </w:tc>
      </w:tr>
      <w:tr>
        <w:tc>
          <w:tcPr>
            <w:tcW w:type="dxa" w:w="4997"/>
            <w:vAlign w:val="top"/>
          </w:tcPr>
          <w:p>
            <w:r>
              <w:t>Parsing reply EHLO client-side</w:t>
            </w:r>
          </w:p>
        </w:tc>
        <w:tc>
          <w:tcPr>
            <w:tcW w:type="dxa" w:w="4997"/>
            <w:vAlign w:val="top"/>
          </w:tcPr>
          <w:p>
            <w:r>
              <w:t>PRIMITIVA PRONTA</w:t>
            </w:r>
          </w:p>
        </w:tc>
      </w:tr>
      <w:tr>
        <w:tc>
          <w:tcPr>
            <w:tcW w:type="dxa" w:w="4997"/>
            <w:vAlign w:val="top"/>
          </w:tcPr>
          <w:p>
            <w:r>
              <w:t>Discovery key remota nel flusso di invio</w:t>
            </w:r>
          </w:p>
        </w:tc>
        <w:tc>
          <w:tcPr>
            <w:tcW w:type="dxa" w:w="4997"/>
            <w:vAlign w:val="top"/>
          </w:tcPr>
          <w:p>
            <w:r>
              <w:t>NEXT</w:t>
            </w:r>
          </w:p>
        </w:tc>
      </w:tr>
      <w:tr>
        <w:tc>
          <w:tcPr>
            <w:tcW w:type="dxa" w:w="4997"/>
            <w:vAlign w:val="top"/>
          </w:tcPr>
          <w:p>
            <w:r>
              <w:t>Trust/cache X25519 remota</w:t>
            </w:r>
          </w:p>
        </w:tc>
        <w:tc>
          <w:tcPr>
            <w:tcW w:type="dxa" w:w="4997"/>
            <w:vAlign w:val="top"/>
          </w:tcPr>
          <w:p>
            <w:r>
              <w:t>NEXT</w:t>
            </w:r>
          </w:p>
        </w:tc>
      </w:tr>
      <w:tr>
        <w:tc>
          <w:tcPr>
            <w:tcW w:type="dxa" w:w="4997"/>
            <w:vAlign w:val="top"/>
          </w:tcPr>
          <w:p>
            <w:r>
              <w:t>Encrypt prima della queue</w:t>
            </w:r>
          </w:p>
        </w:tc>
        <w:tc>
          <w:tcPr>
            <w:tcW w:type="dxa" w:w="4997"/>
            <w:vAlign w:val="top"/>
          </w:tcPr>
          <w:p>
            <w:r>
              <w:t>NEXT / decisione architetturale</w:t>
            </w:r>
          </w:p>
        </w:tc>
      </w:tr>
      <w:tr>
        <w:tc>
          <w:tcPr>
            <w:tcW w:type="dxa" w:w="4997"/>
            <w:vAlign w:val="top"/>
          </w:tcPr>
          <w:p>
            <w:r>
              <w:t>Decrypt prima del verifier SMTP inbound</w:t>
            </w:r>
          </w:p>
        </w:tc>
        <w:tc>
          <w:tcPr>
            <w:tcW w:type="dxa" w:w="4997"/>
            <w:vAlign w:val="top"/>
          </w:tcPr>
          <w:p>
            <w:r>
              <w:t>NEXT</w:t>
            </w:r>
          </w:p>
        </w:tc>
      </w:tr>
      <w:tr>
        <w:tc>
          <w:tcPr>
            <w:tcW w:type="dxa" w:w="4997"/>
            <w:vAlign w:val="top"/>
          </w:tcPr>
          <w:p>
            <w:r>
              <w:t>Gestione SMTP sanitizzata di InvalidTag</w:t>
            </w:r>
          </w:p>
        </w:tc>
        <w:tc>
          <w:tcPr>
            <w:tcW w:type="dxa" w:w="4997"/>
            <w:vAlign w:val="top"/>
          </w:tcPr>
          <w:p>
            <w:r>
              <w:t>NEXT</w:t>
            </w:r>
          </w:p>
        </w:tc>
      </w:tr>
      <w:tr>
        <w:tc>
          <w:tcPr>
            <w:tcW w:type="dxa" w:w="4997"/>
            <w:vAlign w:val="top"/>
          </w:tcPr>
          <w:p>
            <w:r>
              <w:t>Multi-recipient E2EE</w:t>
            </w:r>
          </w:p>
        </w:tc>
        <w:tc>
          <w:tcPr>
            <w:tcW w:type="dxa" w:w="4997"/>
            <w:vAlign w:val="top"/>
          </w:tcPr>
          <w:p>
            <w:r>
              <w:t>RINVIATO</w:t>
            </w:r>
          </w:p>
        </w:tc>
      </w:tr>
      <w:tr>
        <w:tc>
          <w:tcPr>
            <w:tcW w:type="dxa" w:w="4997"/>
            <w:vAlign w:val="top"/>
          </w:tcPr>
          <w:p>
            <w:r>
              <w:t>Key rotation E2EE</w:t>
            </w:r>
          </w:p>
        </w:tc>
        <w:tc>
          <w:tcPr>
            <w:tcW w:type="dxa" w:w="4997"/>
            <w:vAlign w:val="top"/>
          </w:tcPr>
          <w:p>
            <w:r>
              <w:t>RINVIATO</w:t>
            </w:r>
          </w:p>
        </w:tc>
      </w:tr>
    </w:tbl>
    <w:p>
      <w:pPr>
        <w:spacing w:after="20"/>
      </w:pPr>
    </w:p>
    <w:p>
      <w:pPr>
        <w:pStyle w:val="Heading1"/>
      </w:pPr>
      <w:r>
        <w:t>23. Nodo architetturale da risolvere nello Sprint 3</w:t>
      </w:r>
    </w:p>
    <w:p>
      <w:pPr>
        <w:spacing w:after="80"/>
      </w:pPr>
      <w:r>
        <w:t>Il punto centrale non è il parsing della capability, già disponibile, ma il momento della discovery. L'architettura E2EE desiderata prevede ciphertext prima di Pipeline/Queue; tuttavia la chiave X25519 remota viene naturalmente scoperta durante EHLO, che oggi avviene dentro OnionTransport quando QueueWorker sta già consegnando un QueueItem.</w:t>
      </w:r>
    </w:p>
    <w:p>
      <w:pPr>
        <w:spacing w:before="60" w:after="100"/>
        <w:ind w:left="317" w:right="173"/>
      </w:pPr>
      <w:r>
        <w:rPr>
          <w:rFonts w:ascii="Liberation Mono" w:hAnsi="Liberation Mono"/>
          <w:sz w:val="16"/>
        </w:rPr>
        <w:t>Desiderato:</w:t>
        <w:br/>
        <w:t xml:space="preserve">  Composer -&gt; sign -&gt; encrypt -&gt; Queue(ciphertext) -&gt; transport</w:t>
        <w:br/>
        <w:br/>
        <w:t>Disponibile oggi:</w:t>
        <w:br/>
        <w:t xml:space="preserve">  Composer -&gt; sign -&gt; Queue(plaintext signed)</w:t>
        <w:br/>
        <w:t xml:space="preserve">                      |</w:t>
        <w:br/>
        <w:t xml:space="preserve">                      v</w:t>
        <w:br/>
        <w:t xml:space="preserve">                  OnionTransport</w:t>
        <w:br/>
        <w:t xml:space="preserve">                      |</w:t>
        <w:br/>
        <w:t xml:space="preserve">                      v</w:t>
        <w:br/>
        <w:t xml:space="preserve">                    EHLO  &lt;-- qui compare la chiave remota</w:t>
        <w:br/>
      </w:r>
    </w:p>
    <w:p>
      <w:pPr>
        <w:spacing w:after="80"/>
      </w:pPr>
      <w:r>
        <w:t>Questo rende necessaria una scelta esplicita. La soluzione non deve essere introdotta per scorciatoia nel transport senza prima decidere il modello di trust e persistenza della chiave remota.</w:t>
      </w:r>
    </w:p>
    <w:p>
      <w:pPr>
        <w:pStyle w:val="Heading2"/>
      </w:pPr>
      <w:r>
        <w:t>23.1 Opzioni architetturali già identificate</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rPr>
                <w:b/>
              </w:rPr>
              <w:t>Opzione</w:t>
            </w:r>
          </w:p>
        </w:tc>
        <w:tc>
          <w:tcPr>
            <w:tcW w:type="dxa" w:w="3331"/>
          </w:tcPr>
          <w:p>
            <w:r>
              <w:rPr>
                <w:b/>
              </w:rPr>
              <w:t>Vantaggio</w:t>
            </w:r>
          </w:p>
        </w:tc>
        <w:tc>
          <w:tcPr>
            <w:tcW w:type="dxa" w:w="3331"/>
          </w:tcPr>
          <w:p>
            <w:r>
              <w:rPr>
                <w:b/>
              </w:rPr>
              <w:t>Costo / rischio</w:t>
            </w:r>
          </w:p>
        </w:tc>
      </w:tr>
      <w:tr>
        <w:tc>
          <w:tcPr>
            <w:tcW w:type="dxa" w:w="3331"/>
            <w:vAlign w:val="top"/>
          </w:tcPr>
          <w:p>
            <w:r>
              <w:t>Preflight discovery prima del send</w:t>
            </w:r>
          </w:p>
        </w:tc>
        <w:tc>
          <w:tcPr>
            <w:tcW w:type="dxa" w:w="3331"/>
            <w:vAlign w:val="top"/>
          </w:tcPr>
          <w:p>
            <w:r>
              <w:t>Permette di cifrare prima della queue.</w:t>
            </w:r>
          </w:p>
        </w:tc>
        <w:tc>
          <w:tcPr>
            <w:tcW w:type="dxa" w:w="3331"/>
            <w:vAlign w:val="top"/>
          </w:tcPr>
          <w:p>
            <w:r>
              <w:t>L'invio dipende da una connessione Tor preliminare; serve cache/trust.</w:t>
            </w:r>
          </w:p>
        </w:tc>
      </w:tr>
      <w:tr>
        <w:tc>
          <w:tcPr>
            <w:tcW w:type="dxa" w:w="3331"/>
            <w:vAlign w:val="top"/>
          </w:tcPr>
          <w:p>
            <w:r>
              <w:t>Encrypt dentro OnionTransport dopo EHLO</w:t>
            </w:r>
          </w:p>
        </w:tc>
        <w:tc>
          <w:tcPr>
            <w:tcW w:type="dxa" w:w="3331"/>
            <w:vAlign w:val="top"/>
          </w:tcPr>
          <w:p>
            <w:r>
              <w:t>Discovery naturale e implementazione locale.</w:t>
            </w:r>
          </w:p>
        </w:tc>
        <w:tc>
          <w:tcPr>
            <w:tcW w:type="dxa" w:w="3331"/>
            <w:vAlign w:val="top"/>
          </w:tcPr>
          <w:p>
            <w:r>
              <w:t>La queue conserva plaintext firmato; viola l'obiettivo E2EE-before-queue.</w:t>
            </w:r>
          </w:p>
        </w:tc>
      </w:tr>
      <w:tr>
        <w:tc>
          <w:tcPr>
            <w:tcW w:type="dxa" w:w="3331"/>
            <w:vAlign w:val="top"/>
          </w:tcPr>
          <w:p>
            <w:r>
              <w:t>Discovery service + cache TOFU</w:t>
            </w:r>
          </w:p>
        </w:tc>
        <w:tc>
          <w:tcPr>
            <w:tcW w:type="dxa" w:w="3331"/>
            <w:vAlign w:val="top"/>
          </w:tcPr>
          <w:p>
            <w:r>
              <w:t>Separa discovery da delivery e consente cifratura anticipata.</w:t>
            </w:r>
          </w:p>
        </w:tc>
        <w:tc>
          <w:tcPr>
            <w:tcW w:type="dxa" w:w="3331"/>
            <w:vAlign w:val="top"/>
          </w:tcPr>
          <w:p>
            <w:r>
              <w:t>Richiede policy di first-use, key change, persistenza e failure semantics.</w:t>
            </w:r>
          </w:p>
        </w:tc>
      </w:tr>
    </w:tbl>
    <w:p>
      <w:pPr>
        <w:spacing w:after="20"/>
      </w:pPr>
    </w:p>
    <w:p>
      <w:pPr>
        <w:spacing w:after="80"/>
      </w:pPr>
      <w:r>
        <w:t>Lo Sprint 3 dovrebbe partire ispezionando OnionTransport, SMTPClient e il composition root e poi fissare con test il contratto di discovery, senza ancora generalizzare a gruppi o rotazione chiavi.</w:t>
      </w:r>
    </w:p>
    <w:p>
      <w:pPr>
        <w:pStyle w:val="Heading1"/>
      </w:pPr>
      <w:r>
        <w:t>24. Vincoli v1 già scelti</w:t>
      </w:r>
    </w:p>
    <w:p>
      <w:pPr>
        <w:pStyle w:val="ListBullet"/>
        <w:spacing w:after="40"/>
      </w:pPr>
      <w:r>
        <w:t>E2EE v1 inizialmente focalizzata sul singolo destinatario.</w:t>
      </w:r>
    </w:p>
    <w:p>
      <w:pPr>
        <w:pStyle w:val="ListBullet"/>
        <w:spacing w:after="40"/>
      </w:pPr>
      <w:r>
        <w:t>La chiave X25519 è considerata identità crittografica dell'istanza/onion endpoint, non della firma del mittente.</w:t>
      </w:r>
    </w:p>
    <w:p>
      <w:pPr>
        <w:pStyle w:val="ListBullet"/>
        <w:spacing w:after="40"/>
      </w:pPr>
      <w:r>
        <w:t>Trust Ed25519 e trust X25519 devono restare separati.</w:t>
      </w:r>
    </w:p>
    <w:p>
      <w:pPr>
        <w:pStyle w:val="ListBullet"/>
        <w:spacing w:after="40"/>
      </w:pPr>
      <w:r>
        <w:t>L'ordine dei destinatari resta semantico e autenticato.</w:t>
      </w:r>
    </w:p>
    <w:p>
      <w:pPr>
        <w:pStyle w:val="ListBullet"/>
        <w:spacing w:after="40"/>
      </w:pPr>
      <w:r>
        <w:t>Nessun auto-splitting multi-host dentro OnionTransport.</w:t>
      </w:r>
    </w:p>
    <w:p>
      <w:pPr>
        <w:pStyle w:val="ListBullet"/>
        <w:spacing w:after="40"/>
      </w:pPr>
      <w:r>
        <w:t>Allegati rimandati a dopo l'hardening di sicurezza.</w:t>
      </w:r>
    </w:p>
    <w:p>
      <w:pPr>
        <w:pStyle w:val="Heading1"/>
      </w:pPr>
      <w:r>
        <w:t>25. Aree future già previste ma fuori dal checkpoint</w:t>
      </w:r>
    </w:p>
    <w:p>
      <w:pPr>
        <w:pStyle w:val="ListBullet"/>
        <w:spacing w:after="40"/>
      </w:pPr>
      <w:r>
        <w:t>Cifratura at-rest di mailbox, queue e/o materiale sensibile.</w:t>
      </w:r>
    </w:p>
    <w:p>
      <w:pPr>
        <w:pStyle w:val="ListBullet"/>
        <w:spacing w:after="40"/>
      </w:pPr>
      <w:r>
        <w:t>Correlation resistance e riduzione ulteriore dei pattern osservabili.</w:t>
      </w:r>
    </w:p>
    <w:p>
      <w:pPr>
        <w:pStyle w:val="ListBullet"/>
        <w:spacing w:after="40"/>
      </w:pPr>
      <w:r>
        <w:t>Endpoint hardening.</w:t>
      </w:r>
    </w:p>
    <w:p>
      <w:pPr>
        <w:pStyle w:val="ListBullet"/>
        <w:spacing w:after="40"/>
      </w:pPr>
      <w:r>
        <w:t>E2EE multi-recipient e gestione gruppi.</w:t>
      </w:r>
    </w:p>
    <w:p>
      <w:pPr>
        <w:pStyle w:val="ListBullet"/>
        <w:spacing w:after="40"/>
      </w:pPr>
      <w:r>
        <w:t>Rotazione/revoca delle chiavi X25519 e policy di key change.</w:t>
      </w:r>
    </w:p>
    <w:p>
      <w:pPr>
        <w:pStyle w:val="ListBullet"/>
        <w:spacing w:after="40"/>
      </w:pPr>
      <w:r>
        <w:t>Allegati e relativo modello MIME/E2EE.</w:t>
      </w:r>
    </w:p>
    <w:p>
      <w:pPr>
        <w:pStyle w:val="ListBullet"/>
        <w:spacing w:after="40"/>
      </w:pPr>
      <w:r>
        <w:t>Ulteriori audit di packaging e compliance per distribuzione commerciale.</w:t>
      </w:r>
    </w:p>
    <w:p>
      <w:pPr>
        <w:pStyle w:val="Heading1"/>
      </w:pPr>
      <w:r>
        <w:t>26. Checkpoint di ripartenza: "Configurazione email onion - Sprint 3"</w:t>
      </w:r>
    </w:p>
    <w:p>
      <w:pPr>
        <w:spacing w:after="80"/>
      </w:pPr>
      <w:r>
        <w:t>Lo stato da assumere come base è il seguente: pipeline, Onion transport, firma/verifica Ed25519, trust store, EncryptionIdentity, primitive X25519/HKDF/ChaCha20-Poly1305, parser EncryptionCapability, advertisement EHLO server-side e framing SMTP multilinea sono completati nel loro perimetro corrente; la suite è stata riportata verde.</w:t>
      </w:r>
    </w:p>
    <w:p>
      <w:pPr>
        <w:spacing w:after="80"/>
      </w:pPr>
      <w:r>
        <w:t>Il primo obiettivo dello Sprint 3 è il client-side E2EE key discovery. Il lavoro dovrebbe mantenere il metodo già adottato: ispezione del codice reale, un test rosso per volta, modifica minima, test mirato, poi suite completa.</w:t>
      </w:r>
    </w:p>
    <w:p>
      <w:pPr>
        <w:spacing w:before="60" w:after="100"/>
        <w:ind w:left="317" w:right="173"/>
      </w:pPr>
      <w:r>
        <w:rPr>
          <w:rFonts w:ascii="Liberation Mono" w:hAnsi="Liberation Mono"/>
          <w:sz w:val="16"/>
        </w:rPr>
        <w:t>SPRINT 3 - primo decision point</w:t>
        <w:br/>
        <w:br/>
        <w:t>EHLO reply</w:t>
        <w:br/>
        <w:t xml:space="preserve">   -&gt; SMTPServerReply.capability("GARLICSMTP-E2EE")</w:t>
        <w:br/>
        <w:t xml:space="preserve">   -&gt; EncryptionCapability.parse(...)</w:t>
        <w:br/>
        <w:t xml:space="preserve">   -&gt; bind key to onion endpoint/domain</w:t>
        <w:br/>
        <w:t xml:space="preserve">   -&gt; trust/cache policy</w:t>
        <w:br/>
        <w:t xml:space="preserve">   -&gt; key-change behavior</w:t>
        <w:br/>
        <w:t xml:space="preserve">   -&gt; availability to MailComposerService / encryption boundary</w:t>
        <w:br/>
      </w:r>
    </w:p>
    <w:p>
      <w:pPr>
        <w:pStyle w:val="Heading1"/>
      </w:pPr>
      <w:r>
        <w:t>27. Mappa sintetica dello stato</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rPr>
                <w:b/>
              </w:rPr>
              <w:t>Sottosistema</w:t>
            </w:r>
          </w:p>
        </w:tc>
        <w:tc>
          <w:tcPr>
            <w:tcW w:type="dxa" w:w="3331"/>
          </w:tcPr>
          <w:p>
            <w:r>
              <w:rPr>
                <w:b/>
              </w:rPr>
              <w:t>Stato</w:t>
            </w:r>
          </w:p>
        </w:tc>
        <w:tc>
          <w:tcPr>
            <w:tcW w:type="dxa" w:w="3331"/>
          </w:tcPr>
          <w:p>
            <w:r>
              <w:rPr>
                <w:b/>
              </w:rPr>
              <w:t>Nota</w:t>
            </w:r>
          </w:p>
        </w:tc>
      </w:tr>
      <w:tr>
        <w:tc>
          <w:tcPr>
            <w:tcW w:type="dxa" w:w="3331"/>
            <w:vAlign w:val="top"/>
          </w:tcPr>
          <w:p>
            <w:r>
              <w:t>Runtime/lifecycle</w:t>
            </w:r>
          </w:p>
        </w:tc>
        <w:tc>
          <w:tcPr>
            <w:tcW w:type="dxa" w:w="3331"/>
            <w:vAlign w:val="top"/>
          </w:tcPr>
          <w:p>
            <w:r>
              <w:t>IMPLEMENTATO</w:t>
            </w:r>
          </w:p>
        </w:tc>
        <w:tc>
          <w:tcPr>
            <w:tcW w:type="dxa" w:w="3331"/>
            <w:vAlign w:val="top"/>
          </w:tcPr>
          <w:p>
            <w:r>
              <w:t>Tick sequenziale; thread per connessioni SMTP/IMAP.</w:t>
            </w:r>
          </w:p>
        </w:tc>
      </w:tr>
      <w:tr>
        <w:tc>
          <w:tcPr>
            <w:tcW w:type="dxa" w:w="3331"/>
            <w:vAlign w:val="top"/>
          </w:tcPr>
          <w:p>
            <w:r>
              <w:t>SMTP inbound</w:t>
            </w:r>
          </w:p>
        </w:tc>
        <w:tc>
          <w:tcPr>
            <w:tcW w:type="dxa" w:w="3331"/>
            <w:vAlign w:val="top"/>
          </w:tcPr>
          <w:p>
            <w:r>
              <w:t>IMPLEMENTATO</w:t>
            </w:r>
          </w:p>
        </w:tc>
        <w:tc>
          <w:tcPr>
            <w:tcW w:type="dxa" w:w="3331"/>
            <w:vAlign w:val="top"/>
          </w:tcPr>
          <w:p>
            <w:r>
              <w:t>Pipeline condivisa, multi-RCPT, verifier.</w:t>
            </w:r>
          </w:p>
        </w:tc>
      </w:tr>
      <w:tr>
        <w:tc>
          <w:tcPr>
            <w:tcW w:type="dxa" w:w="3331"/>
            <w:vAlign w:val="top"/>
          </w:tcPr>
          <w:p>
            <w:r>
              <w:t>SMTP outbound</w:t>
            </w:r>
          </w:p>
        </w:tc>
        <w:tc>
          <w:tcPr>
            <w:tcW w:type="dxa" w:w="3331"/>
            <w:vAlign w:val="top"/>
          </w:tcPr>
          <w:p>
            <w:r>
              <w:t>IMPLEMENTATO</w:t>
            </w:r>
          </w:p>
        </w:tc>
        <w:tc>
          <w:tcPr>
            <w:tcW w:type="dxa" w:w="3331"/>
            <w:vAlign w:val="top"/>
          </w:tcPr>
          <w:p>
            <w:r>
              <w:t>Client + multiline reply; discovery non ancora usata.</w:t>
            </w:r>
          </w:p>
        </w:tc>
      </w:tr>
      <w:tr>
        <w:tc>
          <w:tcPr>
            <w:tcW w:type="dxa" w:w="3331"/>
            <w:vAlign w:val="top"/>
          </w:tcPr>
          <w:p>
            <w:r>
              <w:t>IMAP</w:t>
            </w:r>
          </w:p>
        </w:tc>
        <w:tc>
          <w:tcPr>
            <w:tcW w:type="dxa" w:w="3331"/>
            <w:vAlign w:val="top"/>
          </w:tcPr>
          <w:p>
            <w:r>
              <w:t>IMPLEMENTATO</w:t>
            </w:r>
          </w:p>
        </w:tc>
        <w:tc>
          <w:tcPr>
            <w:tcW w:type="dxa" w:w="3331"/>
            <w:vAlign w:val="top"/>
          </w:tcPr>
          <w:p>
            <w:r>
              <w:t>Store condiviso, IDLE/event adapter.</w:t>
            </w:r>
          </w:p>
        </w:tc>
      </w:tr>
      <w:tr>
        <w:tc>
          <w:tcPr>
            <w:tcW w:type="dxa" w:w="3331"/>
            <w:vAlign w:val="top"/>
          </w:tcPr>
          <w:p>
            <w:r>
              <w:t>SQLite mailbox</w:t>
            </w:r>
          </w:p>
        </w:tc>
        <w:tc>
          <w:tcPr>
            <w:tcW w:type="dxa" w:w="3331"/>
            <w:vAlign w:val="top"/>
          </w:tcPr>
          <w:p>
            <w:r>
              <w:t>IMPLEMENTATO</w:t>
            </w:r>
          </w:p>
        </w:tc>
        <w:tc>
          <w:tcPr>
            <w:tcW w:type="dxa" w:w="3331"/>
            <w:vAlign w:val="top"/>
          </w:tcPr>
          <w:p>
            <w:r>
              <w:t>Backend predefinito.</w:t>
            </w:r>
          </w:p>
        </w:tc>
      </w:tr>
      <w:tr>
        <w:tc>
          <w:tcPr>
            <w:tcW w:type="dxa" w:w="3331"/>
            <w:vAlign w:val="top"/>
          </w:tcPr>
          <w:p>
            <w:r>
              <w:t>SQLite queue/retry</w:t>
            </w:r>
          </w:p>
        </w:tc>
        <w:tc>
          <w:tcPr>
            <w:tcW w:type="dxa" w:w="3331"/>
            <w:vAlign w:val="top"/>
          </w:tcPr>
          <w:p>
            <w:r>
              <w:t>IMPLEMENTATO</w:t>
            </w:r>
          </w:p>
        </w:tc>
        <w:tc>
          <w:tcPr>
            <w:tcW w:type="dxa" w:w="3331"/>
            <w:vAlign w:val="top"/>
          </w:tcPr>
          <w:p>
            <w:r>
              <w:t>Retry e privacy-safe error category.</w:t>
            </w:r>
          </w:p>
        </w:tc>
      </w:tr>
      <w:tr>
        <w:tc>
          <w:tcPr>
            <w:tcW w:type="dxa" w:w="3331"/>
            <w:vAlign w:val="top"/>
          </w:tcPr>
          <w:p>
            <w:r>
              <w:t>Tor SOCKS5 outbound</w:t>
            </w:r>
          </w:p>
        </w:tc>
        <w:tc>
          <w:tcPr>
            <w:tcW w:type="dxa" w:w="3331"/>
            <w:vAlign w:val="top"/>
          </w:tcPr>
          <w:p>
            <w:r>
              <w:t>IMPLEMENTATO</w:t>
            </w:r>
          </w:p>
        </w:tc>
        <w:tc>
          <w:tcPr>
            <w:tcW w:type="dxa" w:w="3331"/>
            <w:vAlign w:val="top"/>
          </w:tcPr>
          <w:p>
            <w:r>
              <w:t>OnionTransport.</w:t>
            </w:r>
          </w:p>
        </w:tc>
      </w:tr>
      <w:tr>
        <w:tc>
          <w:tcPr>
            <w:tcW w:type="dxa" w:w="3331"/>
            <w:vAlign w:val="top"/>
          </w:tcPr>
          <w:p>
            <w:r>
              <w:t>Tor Onion Service inbound</w:t>
            </w:r>
          </w:p>
        </w:tc>
        <w:tc>
          <w:tcPr>
            <w:tcW w:type="dxa" w:w="3331"/>
            <w:vAlign w:val="top"/>
          </w:tcPr>
          <w:p>
            <w:r>
              <w:t>IMPLEMENTATO</w:t>
            </w:r>
          </w:p>
        </w:tc>
        <w:tc>
          <w:tcPr>
            <w:tcW w:type="dxa" w:w="3331"/>
            <w:vAlign w:val="top"/>
          </w:tcPr>
          <w:p>
            <w:r>
              <w:t>ADD_ONION + identità stabile persistente.</w:t>
            </w:r>
          </w:p>
        </w:tc>
      </w:tr>
      <w:tr>
        <w:tc>
          <w:tcPr>
            <w:tcW w:type="dxa" w:w="3331"/>
            <w:vAlign w:val="top"/>
          </w:tcPr>
          <w:p>
            <w:r>
              <w:t>Firma Ed25519</w:t>
            </w:r>
          </w:p>
        </w:tc>
        <w:tc>
          <w:tcPr>
            <w:tcW w:type="dxa" w:w="3331"/>
            <w:vAlign w:val="top"/>
          </w:tcPr>
          <w:p>
            <w:r>
              <w:t>IMPLEMENTATO</w:t>
            </w:r>
          </w:p>
        </w:tc>
        <w:tc>
          <w:tcPr>
            <w:tcW w:type="dxa" w:w="3331"/>
            <w:vAlign w:val="top"/>
          </w:tcPr>
          <w:p>
            <w:r>
              <w:t>Canonicalizer + signer + verifier + trust.</w:t>
            </w:r>
          </w:p>
        </w:tc>
      </w:tr>
      <w:tr>
        <w:tc>
          <w:tcPr>
            <w:tcW w:type="dxa" w:w="3331"/>
            <w:vAlign w:val="top"/>
          </w:tcPr>
          <w:p>
            <w:r>
              <w:t>E2EE primitive</w:t>
            </w:r>
          </w:p>
        </w:tc>
        <w:tc>
          <w:tcPr>
            <w:tcW w:type="dxa" w:w="3331"/>
            <w:vAlign w:val="top"/>
          </w:tcPr>
          <w:p>
            <w:r>
              <w:t>PRIMITIVA PRONTA</w:t>
            </w:r>
          </w:p>
        </w:tc>
        <w:tc>
          <w:tcPr>
            <w:tcW w:type="dxa" w:w="3331"/>
            <w:vAlign w:val="top"/>
          </w:tcPr>
          <w:p>
            <w:r>
              <w:t>X25519/HKDF/ChaCha20-Poly1305.</w:t>
            </w:r>
          </w:p>
        </w:tc>
      </w:tr>
      <w:tr>
        <w:tc>
          <w:tcPr>
            <w:tcW w:type="dxa" w:w="3331"/>
            <w:vAlign w:val="top"/>
          </w:tcPr>
          <w:p>
            <w:r>
              <w:t>E2EE capability server</w:t>
            </w:r>
          </w:p>
        </w:tc>
        <w:tc>
          <w:tcPr>
            <w:tcW w:type="dxa" w:w="3331"/>
            <w:vAlign w:val="top"/>
          </w:tcPr>
          <w:p>
            <w:r>
              <w:t>IMPLEMENTATO</w:t>
            </w:r>
          </w:p>
        </w:tc>
        <w:tc>
          <w:tcPr>
            <w:tcW w:type="dxa" w:w="3331"/>
            <w:vAlign w:val="top"/>
          </w:tcPr>
          <w:p>
            <w:r>
              <w:t>EHLO GARLICSMTP-E2EE.</w:t>
            </w:r>
          </w:p>
        </w:tc>
      </w:tr>
      <w:tr>
        <w:tc>
          <w:tcPr>
            <w:tcW w:type="dxa" w:w="3331"/>
            <w:vAlign w:val="top"/>
          </w:tcPr>
          <w:p>
            <w:r>
              <w:t>E2EE discovery client</w:t>
            </w:r>
          </w:p>
        </w:tc>
        <w:tc>
          <w:tcPr>
            <w:tcW w:type="dxa" w:w="3331"/>
            <w:vAlign w:val="top"/>
          </w:tcPr>
          <w:p>
            <w:r>
              <w:t>NEXT</w:t>
            </w:r>
          </w:p>
        </w:tc>
        <w:tc>
          <w:tcPr>
            <w:tcW w:type="dxa" w:w="3331"/>
            <w:vAlign w:val="top"/>
          </w:tcPr>
          <w:p>
            <w:r>
              <w:t>Primo blocco Sprint 3.</w:t>
            </w:r>
          </w:p>
        </w:tc>
      </w:tr>
      <w:tr>
        <w:tc>
          <w:tcPr>
            <w:tcW w:type="dxa" w:w="3331"/>
            <w:vAlign w:val="top"/>
          </w:tcPr>
          <w:p>
            <w:r>
              <w:t>E2EE end-to-end wiring</w:t>
            </w:r>
          </w:p>
        </w:tc>
        <w:tc>
          <w:tcPr>
            <w:tcW w:type="dxa" w:w="3331"/>
            <w:vAlign w:val="top"/>
          </w:tcPr>
          <w:p>
            <w:r>
              <w:t>NEXT</w:t>
            </w:r>
          </w:p>
        </w:tc>
        <w:tc>
          <w:tcPr>
            <w:tcW w:type="dxa" w:w="3331"/>
            <w:vAlign w:val="top"/>
          </w:tcPr>
          <w:p>
            <w:r>
              <w:t>Dopo discovery/trust.</w:t>
            </w:r>
          </w:p>
        </w:tc>
      </w:tr>
      <w:tr>
        <w:tc>
          <w:tcPr>
            <w:tcW w:type="dxa" w:w="3331"/>
            <w:vAlign w:val="top"/>
          </w:tcPr>
          <w:p>
            <w:r>
              <w:t>At-rest encryption</w:t>
            </w:r>
          </w:p>
        </w:tc>
        <w:tc>
          <w:tcPr>
            <w:tcW w:type="dxa" w:w="3331"/>
            <w:vAlign w:val="top"/>
          </w:tcPr>
          <w:p>
            <w:r>
              <w:t>RINVIATO</w:t>
            </w:r>
          </w:p>
        </w:tc>
        <w:tc>
          <w:tcPr>
            <w:tcW w:type="dxa" w:w="3331"/>
            <w:vAlign w:val="top"/>
          </w:tcPr>
          <w:p>
            <w:r>
              <w:t>Hardening futuro.</w:t>
            </w:r>
          </w:p>
        </w:tc>
      </w:tr>
      <w:tr>
        <w:tc>
          <w:tcPr>
            <w:tcW w:type="dxa" w:w="3331"/>
            <w:vAlign w:val="top"/>
          </w:tcPr>
          <w:p>
            <w:r>
              <w:t>Attachments</w:t>
            </w:r>
          </w:p>
        </w:tc>
        <w:tc>
          <w:tcPr>
            <w:tcW w:type="dxa" w:w="3331"/>
            <w:vAlign w:val="top"/>
          </w:tcPr>
          <w:p>
            <w:r>
              <w:t>RINVIATO</w:t>
            </w:r>
          </w:p>
        </w:tc>
        <w:tc>
          <w:tcPr>
            <w:tcW w:type="dxa" w:w="3331"/>
            <w:vAlign w:val="top"/>
          </w:tcPr>
          <w:p>
            <w:r>
              <w:t>Dopo sicurezza.</w:t>
            </w:r>
          </w:p>
        </w:tc>
      </w:tr>
    </w:tbl>
    <w:p>
      <w:pPr>
        <w:spacing w:after="20"/>
      </w:pPr>
    </w:p>
    <w:p>
      <w:pPr>
        <w:pStyle w:val="Heading1"/>
      </w:pPr>
      <w:r>
        <w:t>28. Nota finale sulla natura del documento</w:t>
      </w:r>
    </w:p>
    <w:p>
      <w:pPr>
        <w:spacing w:after="80"/>
      </w:pPr>
      <w:r>
        <w:t>Le descrizioni di implementazione in questo documento sono state ricavate dallo snapshot del repository fornito per questa revisione, non soltanto dal riepilogo conversazionale. Dove viene descritto lavoro futuro, il testo lo marca esplicitamente come NEXT o RINVIATO. Questo documento può quindi essere usato come promemoria architetturale all'apertura del nuovo ramo, ma il codice del repository resta la fonte operativa della verità durante lo sviluppo.</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GarlicSMTP Project - Architettura e funzionamento - snapshot 03/09/2026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