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GarlicSMTP</w:t>
        <w:br/>
        <w:t>Architettura e funzionamento</w:t>
      </w:r>
    </w:p>
    <w:p>
      <w:pPr>
        <w:jc w:val="center"/>
      </w:pPr>
      <w:r>
        <w:rPr>
          <w:b/>
        </w:rPr>
        <w:t>Versione 2 - stato al 6 settembre 2026</w:t>
      </w:r>
    </w:p>
    <w:p>
      <w:pPr>
        <w:jc w:val="center"/>
      </w:pPr>
      <w:r>
        <w:rPr>
          <w:i/>
        </w:rPr>
        <w:t>Milestone di progetto - versione 2</w:t>
      </w:r>
    </w:p>
    <w:p/>
    <w:p>
      <w:pPr>
        <w:pStyle w:val="Heading1"/>
      </w:pPr>
      <w:r>
        <w:t>1. Scopo e rapporto con la versione precedente</w:t>
      </w:r>
    </w:p>
    <w:p>
      <w:r>
        <w:t>Questa versione aggiorna lo snapshot del 3 settembre 2026 dopo il completamento dello Sprint 3 e del successivo hardening node-to-node. La versione precedente resta utile come cronologia del decision point E2EE; questo documento fotografa invece lo stato raggiunto alla milestone corrente.</w:t>
      </w:r>
    </w:p>
    <w:p>
      <w:pPr>
        <w:pStyle w:val="Heading1"/>
      </w:pPr>
      <w:r>
        <w:t>2. Stato architetturale corrente</w:t>
      </w:r>
    </w:p>
    <w:p>
      <w:r>
        <w:t>GarlicSMTP mantiene una pipeline condivisa per composizione locale e ricezione SMTP, un MessageStore con backend SQLite, una queue persistente, server SMTP/IMAP su loopback e trasporto Onion via Tor. Le identità Onion Service, Ed25519 e X25519 restano separate.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Stato V2</w:t>
            </w:r>
          </w:p>
        </w:tc>
        <w:tc>
          <w:tcPr>
            <w:tcW w:type="dxa" w:w="3312"/>
            <w:shd w:fill="D9EAF7"/>
            <w:vAlign w:val="center"/>
          </w:tcPr>
          <w:p>
            <w:r/>
            <w:r>
              <w:rPr>
                <w:b/>
                <w:sz w:val="18"/>
              </w:rPr>
              <w:t>Nota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SMTP inbound/outbound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Server e client reali; framing multilinea interoperabile.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IMAP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Store condiviso, SELECT/FETCH/SEARCH/APPEND/IDLE; auth iniettabile dal builder.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SQLite store/queue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Persistenza mailbox, UIDVALIDITY, queue e retry.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Tor Onion/SOCKS5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Onion Service inbound e OnionTransport outbound.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Ed25519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Firma, verifica e trust separato.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E2EE X25519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 E2E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Discovery, pin TOFU, encrypt-before-queue e decrypt-before-verify.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Node-to-node E2EE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IMPLEMENTATO/TESTATO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Scambio reale locale con SMTP client/server e key-change rejection.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SMTP -&gt; Store -&gt; IMAP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ULTIMO GATE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Test integrato reale ancora da aggiungere prima del backend freeze.</w:t>
            </w:r>
          </w:p>
        </w:tc>
      </w:tr>
    </w:tbl>
    <w:p>
      <w:pPr>
        <w:pStyle w:val="Heading1"/>
      </w:pPr>
      <w:r>
        <w:t>3. Composition root e autenticazione IMAP</w:t>
      </w:r>
    </w:p>
    <w:p>
      <w:r>
        <w:t>ApplicationBuilder continua a essere il composition root. Alla milestone corrente è stato aggiunto un parametro opzionale imap_authenticator: Authenticator | None. Il builder lo propaga a IMAPServer. Il default resta fail-closed: in assenza di dipendenza esplicita IMAPServer usa RejectingAuthenticator.</w:t>
      </w:r>
    </w:p>
    <w:p>
      <w:r>
        <w:t>Questa modifica non introduce ancora gestione account o persistenza delle credenziali. Consente però all'applicazione e ai test end-to-end di fornire un authenticator reale senza bypassare il wiring di produzione. La scelta delle credenziali finali resta assegnata al first-run/configurazione.</w:t>
      </w:r>
    </w:p>
    <w:p>
      <w:pPr>
        <w:pStyle w:val="Heading1"/>
      </w:pPr>
      <w:r>
        <w:t>4. E2EE operativo completato nello Sprint 3</w:t>
      </w:r>
    </w:p>
    <w:p>
      <w:pPr>
        <w:pStyle w:val="ListBullet"/>
      </w:pPr>
      <w:r>
        <w:t>Discovery client-side della capability GARLICSMTP-E2EE durante preflight SMTP.</w:t>
      </w:r>
    </w:p>
    <w:p>
      <w:pPr>
        <w:pStyle w:val="ListBullet"/>
      </w:pPr>
      <w:r>
        <w:t>Parsing chiuso della capability e associazione della chiave X25519 all'endpoint onion.</w:t>
      </w:r>
    </w:p>
    <w:p>
      <w:pPr>
        <w:pStyle w:val="ListBullet"/>
      </w:pPr>
      <w:r>
        <w:t>Persistenza/pinning TOFU della chiave remota; il callback non è fonte autoritativa, lo store lo è.</w:t>
      </w:r>
    </w:p>
    <w:p>
      <w:pPr>
        <w:pStyle w:val="ListBullet"/>
      </w:pPr>
      <w:r>
        <w:t>Cifratura del messaggio prima dell'accodamento: la queue outbound conserva ciphertext, non plaintext.</w:t>
      </w:r>
    </w:p>
    <w:p>
      <w:pPr>
        <w:pStyle w:val="ListBullet"/>
      </w:pPr>
      <w:r>
        <w:t>First contact: discovery, pin, rilettura dello store, cifratura e solo dopo enqueue.</w:t>
      </w:r>
    </w:p>
    <w:p>
      <w:pPr>
        <w:pStyle w:val="ListBullet"/>
      </w:pPr>
      <w:r>
        <w:t>Cambio della chiave X25519 dello stesso endpoint: temporary failure, nessun overwrite silenzioso, nessuna consegna e queue preservata.</w:t>
      </w:r>
    </w:p>
    <w:p>
      <w:pPr>
        <w:pStyle w:val="ListBullet"/>
      </w:pPr>
      <w:r>
        <w:t>Inbound SMTP: rilevamento messaggio cifrato, decrypt con encryption.key locale, poi verifica Ed25519 e pipeline.</w:t>
      </w:r>
    </w:p>
    <w:p>
      <w:pPr>
        <w:pStyle w:val="ListBullet"/>
      </w:pPr>
      <w:r>
        <w:t>La chiave pubblicizzata via EHLO coincide con la chiave privata usata per la decifratura inbound.</w:t>
      </w:r>
    </w:p>
    <w:p>
      <w:pPr>
        <w:pStyle w:val="Heading1"/>
      </w:pPr>
      <w:r>
        <w:t>5. Flussi correnti</w:t>
      </w:r>
    </w:p>
    <w:p>
      <w:r>
        <w:t>Outbound remoto:</w:t>
      </w:r>
    </w:p>
    <w:p>
      <w:r>
        <w:t>MailComposerService -&gt; firma Ed25519 -&gt; DeliveryStage -&gt; chiave pinned/discovery -&gt; MessageEncryptor -&gt; Queue(ciphertext) -&gt; QueueWorker -&gt; OnionTransport -&gt; SMTP peer</w:t>
      </w:r>
    </w:p>
    <w:p>
      <w:r>
        <w:t>Inbound cifrato:</w:t>
      </w:r>
    </w:p>
    <w:p>
      <w:r>
        <w:t>SMTP peer -&gt; SMTPServer -&gt; rilevamento E2EE -&gt; MessageDecryptor -&gt; MessageVerifier -&gt; Pipeline -&gt; MessageStore per destinatario locale</w:t>
      </w:r>
    </w:p>
    <w:p>
      <w:pPr>
        <w:pStyle w:val="Heading1"/>
      </w:pPr>
      <w:r>
        <w:t>6. Invarianti di sicurezza consolidate</w:t>
      </w:r>
    </w:p>
    <w:p>
      <w:pPr>
        <w:pStyle w:val="ListBullet"/>
      </w:pPr>
      <w:r>
        <w:t>Onion identity, Ed25519 signing identity e X25519 encryption identity hanno scopi separati.</w:t>
      </w:r>
    </w:p>
    <w:p>
      <w:pPr>
        <w:pStyle w:val="ListBullet"/>
      </w:pPr>
      <w:r>
        <w:t>Validità della firma e trust del mittente restano distinti.</w:t>
      </w:r>
    </w:p>
    <w:p>
      <w:pPr>
        <w:pStyle w:val="ListBullet"/>
      </w:pPr>
      <w:r>
        <w:t>Firma e AEAD autenticano l'envelope e preservano l'ordine semantico dei destinatari.</w:t>
      </w:r>
    </w:p>
    <w:p>
      <w:pPr>
        <w:pStyle w:val="ListBullet"/>
      </w:pPr>
      <w:r>
        <w:t>Le chiavi private persistenti rifiutano symlink, usano permessi stretti e scritture atomiche.</w:t>
      </w:r>
    </w:p>
    <w:p>
      <w:pPr>
        <w:pStyle w:val="ListBullet"/>
      </w:pPr>
      <w:r>
        <w:t>Capability remota malformata o cambiata viene rifiutata prima di MAIL/RCPT/DATA.</w:t>
      </w:r>
    </w:p>
    <w:p>
      <w:pPr>
        <w:pStyle w:val="ListBullet"/>
      </w:pPr>
      <w:r>
        <w:t>Gli errori mutabili di chiave/capability sono temporanei e non eliminano permanentemente la queue.</w:t>
      </w:r>
    </w:p>
    <w:p>
      <w:pPr>
        <w:pStyle w:val="ListBullet"/>
      </w:pPr>
      <w:r>
        <w:t>Il trasporto generico non viene implicitamente promosso a E2EE.</w:t>
      </w:r>
    </w:p>
    <w:p>
      <w:pPr>
        <w:pStyle w:val="ListBullet"/>
      </w:pPr>
      <w:r>
        <w:t>Il logging evita indirizzi, contenuti e dettagli sensibili.</w:t>
      </w:r>
    </w:p>
    <w:p>
      <w:pPr>
        <w:pStyle w:val="Heading1"/>
      </w:pPr>
      <w:r>
        <w:t>7. Consolidamento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4968"/>
            <w:shd w:fill="D9EAF7"/>
            <w:vAlign w:val="center"/>
          </w:tcPr>
          <w:p>
            <w:r/>
            <w:r>
              <w:rPr>
                <w:b/>
                <w:sz w:val="18"/>
              </w:rPr>
              <w:t>Stato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CAPABILITY / IDLE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UIDVALIDITY persistente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HIGHESTMODSEQ / CONDSTORE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Fuori V1; non pubblicizzato e rifiutato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Tor/E2EE hardening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Node-to-node E2EE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DONE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Lifecycle/shutdown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Nessun gap concreto rilevato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IMAP authenticator dependency injection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DONE - test mirato GREEN</w:t>
            </w:r>
          </w:p>
        </w:tc>
      </w:tr>
      <w:tr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SMTP -&gt; Store -&gt; IMAP reale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NEXT - ultimo gate</w:t>
            </w:r>
          </w:p>
        </w:tc>
      </w:tr>
    </w:tbl>
    <w:p>
      <w:pPr>
        <w:pStyle w:val="Heading1"/>
      </w:pPr>
      <w:r>
        <w:t>8. Roadmap dalla milestone corrente</w:t>
      </w:r>
    </w:p>
    <w:p>
      <w:pPr>
        <w:pStyle w:val="ListBullet"/>
      </w:pPr>
      <w:r>
        <w:t>Aggiungere il test reale SMTP -&gt; Store -&gt; IMAP usando ApplicationBuilder e authenticator iniettato.</w:t>
      </w:r>
    </w:p>
    <w:p>
      <w:pPr>
        <w:pStyle w:val="ListBullet"/>
      </w:pPr>
      <w:r>
        <w:t>Eseguire test correlati, suite completa e git diff --check; se verdi, dichiarare BACKEND FREEZE.</w:t>
      </w:r>
    </w:p>
    <w:p>
      <w:pPr>
        <w:pStyle w:val="ListBullet"/>
      </w:pPr>
      <w:r>
        <w:t>Consolidare l'application/service layer come unico confine della GUI.</w:t>
      </w:r>
    </w:p>
    <w:p>
      <w:pPr>
        <w:pStyle w:val="ListBullet"/>
      </w:pPr>
      <w:r>
        <w:t>Completare GUI e integrazione GUI/backend.</w:t>
      </w:r>
    </w:p>
    <w:p>
      <w:pPr>
        <w:pStyle w:val="ListBullet"/>
      </w:pPr>
      <w:r>
        <w:t>Implementare first-run configuration, incluse le credenziali IMAP finali.</w:t>
      </w:r>
    </w:p>
    <w:p>
      <w:pPr>
        <w:pStyle w:val="ListBullet"/>
      </w:pPr>
      <w:r>
        <w:t>Packaging Linux, installer/autoconfigurazione e test su Linux pulito.</w:t>
      </w:r>
    </w:p>
    <w:p>
      <w:pPr>
        <w:pStyle w:val="ListBullet"/>
      </w:pPr>
      <w:r>
        <w:t>Chiudere la V1 ready-to-use.</w:t>
      </w:r>
    </w:p>
    <w:p>
      <w:pPr>
        <w:pStyle w:val="Heading1"/>
      </w:pPr>
      <w:r>
        <w:t>9. Fuori dalla critical path V1</w:t>
      </w:r>
    </w:p>
    <w:p>
      <w:r>
        <w:t>Restano rinviati: multipart/BODYSTRUCTURE avanzato, CONDSTORE/HIGHESTMODSEQ e altre estensioni IMAP non necessarie, E2EE multi-recipient avanzato, key rotation automatica, allegati, cifratura at-rest, correlation resistance e hardening ulteriori non richiesti per la prima release.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